
<file path=[Content_Types].xml><?xml version="1.0" encoding="utf-8"?>
<Types xmlns="http://schemas.openxmlformats.org/package/2006/content-types">
  <Default Extension="tmp"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48" w:rsidRDefault="00D45ED5" w:rsidP="00387448">
      <w:pPr>
        <w:rPr>
          <w:rFonts w:ascii="Monotype Corsiva" w:hAnsi="Monotype Corsiva"/>
        </w:rPr>
      </w:pPr>
      <w:r>
        <w:rPr>
          <w:rFonts w:ascii="Monotype Corsiva" w:hAnsi="Monotype Corsiva"/>
        </w:rPr>
        <w:t xml:space="preserve">                                                                                                                                                                                                                                                                                                                                                                                                        </w:t>
      </w:r>
    </w:p>
    <w:p w:rsidR="007C03BA" w:rsidRDefault="007C03BA" w:rsidP="00387448">
      <w:pPr>
        <w:rPr>
          <w:rFonts w:ascii="Monotype Corsiva" w:hAnsi="Monotype Corsiva"/>
        </w:rPr>
      </w:pPr>
    </w:p>
    <w:p w:rsidR="00387448" w:rsidRDefault="00387448" w:rsidP="00387448">
      <w:pPr>
        <w:rPr>
          <w:rFonts w:ascii="Monotype Corsiva" w:hAnsi="Monotype Corsiva"/>
        </w:rPr>
      </w:pPr>
    </w:p>
    <w:p w:rsidR="007C03BA" w:rsidRDefault="003F64AD">
      <w:pPr>
        <w:rPr>
          <w:sz w:val="32"/>
        </w:rPr>
      </w:pPr>
      <w:r>
        <w:rPr>
          <w:noProof/>
        </w:rPr>
        <mc:AlternateContent>
          <mc:Choice Requires="wps">
            <w:drawing>
              <wp:anchor distT="0" distB="0" distL="114300" distR="114300" simplePos="0" relativeHeight="251657728" behindDoc="0" locked="0" layoutInCell="0" allowOverlap="1">
                <wp:simplePos x="0" y="0"/>
                <wp:positionH relativeFrom="column">
                  <wp:posOffset>863600</wp:posOffset>
                </wp:positionH>
                <wp:positionV relativeFrom="paragraph">
                  <wp:posOffset>217170</wp:posOffset>
                </wp:positionV>
                <wp:extent cx="2807335" cy="864235"/>
                <wp:effectExtent l="10795" t="10795" r="1079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335" cy="864235"/>
                        </a:xfrm>
                        <a:prstGeom prst="rect">
                          <a:avLst/>
                        </a:prstGeom>
                        <a:solidFill>
                          <a:srgbClr val="FFFFFF"/>
                        </a:solidFill>
                        <a:ln w="12700">
                          <a:solidFill>
                            <a:srgbClr val="FFFFFF"/>
                          </a:solidFill>
                          <a:miter lim="800000"/>
                          <a:headEnd/>
                          <a:tailEnd/>
                        </a:ln>
                      </wps:spPr>
                      <wps:txbx>
                        <w:txbxContent>
                          <w:p w:rsidR="00D62A57" w:rsidRDefault="00D62A57">
                            <w:pPr>
                              <w:rPr>
                                <w:sz w:val="32"/>
                              </w:rPr>
                            </w:pPr>
                            <w:r>
                              <w:rPr>
                                <w:b/>
                                <w:sz w:val="32"/>
                              </w:rPr>
                              <w:t>Skjervøy kommune</w:t>
                            </w:r>
                          </w:p>
                          <w:p w:rsidR="00D62A57" w:rsidRDefault="00D62A57">
                            <w:pP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8pt;margin-top:17.1pt;width:221.05pt;height:6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" o:allowincell="f" strokecolor="white" strokeweight="1pt">
                <v:textbox inset="1pt,1pt,1pt,1pt">
                  <w:txbxContent>
                    <w:p w:rsidR="00D62A57" w:rsidRDefault="00D62A57">
                      <w:pPr>
                        <w:rPr>
                          <w:sz w:val="32"/>
                        </w:rPr>
                      </w:pPr>
                      <w:r>
                        <w:rPr>
                          <w:b/>
                          <w:sz w:val="32"/>
                        </w:rPr>
                        <w:t>Skjervøy kommune</w:t>
                      </w:r>
                    </w:p>
                    <w:p w:rsidR="00D62A57" w:rsidRDefault="00D62A57">
                      <w:pPr>
                        <w:rPr>
                          <w:b/>
                        </w:rPr>
                      </w:pPr>
                    </w:p>
                  </w:txbxContent>
                </v:textbox>
              </v:rect>
            </w:pict>
          </mc:Fallback>
        </mc:AlternateContent>
      </w:r>
      <w:r w:rsidR="007C5722">
        <w:rPr>
          <w:noProof/>
          <w:sz w:val="32"/>
        </w:rPr>
        <w:drawing>
          <wp:inline distT="0" distB="0" distL="0" distR="0">
            <wp:extent cx="843280" cy="1043305"/>
            <wp:effectExtent l="1905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843280" cy="1043305"/>
                    </a:xfrm>
                    <a:prstGeom prst="rect">
                      <a:avLst/>
                    </a:prstGeom>
                    <a:noFill/>
                    <a:ln w="9525">
                      <a:noFill/>
                      <a:miter lim="800000"/>
                      <a:headEnd/>
                      <a:tailEnd/>
                    </a:ln>
                  </pic:spPr>
                </pic:pic>
              </a:graphicData>
            </a:graphic>
          </wp:inline>
        </w:drawing>
      </w:r>
    </w:p>
    <w:p w:rsidR="005C788E" w:rsidRPr="00922CEC" w:rsidRDefault="005C788E" w:rsidP="005C788E">
      <w:pPr>
        <w:rPr>
          <w:b/>
          <w:sz w:val="48"/>
          <w:szCs w:val="48"/>
        </w:rPr>
      </w:pPr>
    </w:p>
    <w:p w:rsidR="005C788E" w:rsidRPr="00922CEC" w:rsidRDefault="008F27C7" w:rsidP="005C788E">
      <w:pPr>
        <w:rPr>
          <w:b/>
          <w:sz w:val="48"/>
          <w:szCs w:val="48"/>
        </w:rPr>
      </w:pPr>
      <w:r>
        <w:rPr>
          <w:b/>
          <w:sz w:val="48"/>
          <w:szCs w:val="48"/>
        </w:rPr>
        <w:t>ØKONOMIPLAN 20</w:t>
      </w:r>
      <w:r w:rsidR="00E273DB">
        <w:rPr>
          <w:b/>
          <w:sz w:val="48"/>
          <w:szCs w:val="48"/>
        </w:rPr>
        <w:t>1</w:t>
      </w:r>
      <w:r w:rsidR="00CB55A1">
        <w:rPr>
          <w:b/>
          <w:sz w:val="48"/>
          <w:szCs w:val="48"/>
        </w:rPr>
        <w:t>8</w:t>
      </w:r>
      <w:r w:rsidR="00A619CE">
        <w:rPr>
          <w:b/>
          <w:sz w:val="48"/>
          <w:szCs w:val="48"/>
        </w:rPr>
        <w:t>-202</w:t>
      </w:r>
      <w:r w:rsidR="00CB55A1">
        <w:rPr>
          <w:b/>
          <w:sz w:val="48"/>
          <w:szCs w:val="48"/>
        </w:rPr>
        <w:t>1</w:t>
      </w:r>
    </w:p>
    <w:p w:rsidR="005C788E" w:rsidRDefault="005C788E" w:rsidP="005C788E">
      <w:pPr>
        <w:rPr>
          <w:b/>
          <w:sz w:val="36"/>
          <w:szCs w:val="36"/>
        </w:rPr>
      </w:pPr>
    </w:p>
    <w:tbl>
      <w:tblPr>
        <w:tblW w:w="0" w:type="auto"/>
        <w:tblLook w:val="01E0" w:firstRow="1" w:lastRow="1" w:firstColumn="1" w:lastColumn="1" w:noHBand="0" w:noVBand="0"/>
      </w:tblPr>
      <w:tblGrid>
        <w:gridCol w:w="9072"/>
      </w:tblGrid>
      <w:tr w:rsidR="005C788E" w:rsidRPr="005A1903">
        <w:tc>
          <w:tcPr>
            <w:tcW w:w="9212" w:type="dxa"/>
          </w:tcPr>
          <w:p w:rsidR="005C788E" w:rsidRPr="005A1903" w:rsidRDefault="005C788E" w:rsidP="005A1903">
            <w:pPr>
              <w:tabs>
                <w:tab w:val="center" w:pos="4536"/>
                <w:tab w:val="right" w:pos="9072"/>
              </w:tabs>
              <w:rPr>
                <w:b/>
                <w:sz w:val="36"/>
                <w:szCs w:val="36"/>
              </w:rPr>
            </w:pPr>
          </w:p>
          <w:p w:rsidR="005C788E" w:rsidRPr="005A1903" w:rsidRDefault="007C5722" w:rsidP="005A1903">
            <w:pPr>
              <w:tabs>
                <w:tab w:val="center" w:pos="4536"/>
                <w:tab w:val="right" w:pos="9072"/>
              </w:tabs>
              <w:rPr>
                <w:b/>
                <w:sz w:val="36"/>
                <w:szCs w:val="36"/>
              </w:rPr>
            </w:pPr>
            <w:r>
              <w:rPr>
                <w:b/>
                <w:noProof/>
                <w:sz w:val="36"/>
                <w:szCs w:val="36"/>
              </w:rPr>
              <w:drawing>
                <wp:inline distT="0" distB="0" distL="0" distR="0">
                  <wp:extent cx="4171950" cy="3514725"/>
                  <wp:effectExtent l="19050" t="0" r="0" b="0"/>
                  <wp:docPr id="17" name="Bilde 17" descr="j030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300840"/>
                          <pic:cNvPicPr>
                            <a:picLocks noChangeAspect="1" noChangeArrowheads="1"/>
                          </pic:cNvPicPr>
                        </pic:nvPicPr>
                        <pic:blipFill>
                          <a:blip r:embed="rId9"/>
                          <a:srcRect/>
                          <a:stretch>
                            <a:fillRect/>
                          </a:stretch>
                        </pic:blipFill>
                        <pic:spPr bwMode="auto">
                          <a:xfrm>
                            <a:off x="0" y="0"/>
                            <a:ext cx="4171950" cy="3514725"/>
                          </a:xfrm>
                          <a:prstGeom prst="rect">
                            <a:avLst/>
                          </a:prstGeom>
                          <a:noFill/>
                          <a:ln w="9525">
                            <a:noFill/>
                            <a:miter lim="800000"/>
                            <a:headEnd/>
                            <a:tailEnd/>
                          </a:ln>
                        </pic:spPr>
                      </pic:pic>
                    </a:graphicData>
                  </a:graphic>
                </wp:inline>
              </w:drawing>
            </w:r>
          </w:p>
          <w:p w:rsidR="005C788E" w:rsidRPr="005A1903" w:rsidRDefault="005C788E" w:rsidP="005A1903">
            <w:pPr>
              <w:tabs>
                <w:tab w:val="center" w:pos="4536"/>
                <w:tab w:val="right" w:pos="9072"/>
              </w:tabs>
              <w:rPr>
                <w:b/>
                <w:sz w:val="36"/>
                <w:szCs w:val="36"/>
              </w:rPr>
            </w:pPr>
          </w:p>
        </w:tc>
      </w:tr>
    </w:tbl>
    <w:p w:rsidR="006302AF" w:rsidRDefault="006302AF" w:rsidP="005C788E">
      <w:pPr>
        <w:rPr>
          <w:b/>
          <w:sz w:val="36"/>
          <w:szCs w:val="36"/>
        </w:rPr>
      </w:pPr>
    </w:p>
    <w:p w:rsidR="00041A37" w:rsidRDefault="00041A37" w:rsidP="005C788E">
      <w:pPr>
        <w:rPr>
          <w:b/>
        </w:rPr>
      </w:pPr>
    </w:p>
    <w:p w:rsidR="005C788E" w:rsidRPr="00922CEC" w:rsidRDefault="005C788E" w:rsidP="005C788E">
      <w:pPr>
        <w:rPr>
          <w:b/>
        </w:rPr>
      </w:pPr>
      <w:r>
        <w:rPr>
          <w:b/>
        </w:rPr>
        <w:t>Politisk behandling:</w:t>
      </w:r>
    </w:p>
    <w:tbl>
      <w:tblPr>
        <w:tblW w:w="0" w:type="auto"/>
        <w:tblLook w:val="01E0" w:firstRow="1" w:lastRow="1" w:firstColumn="1" w:lastColumn="1" w:noHBand="0" w:noVBand="0"/>
      </w:tblPr>
      <w:tblGrid>
        <w:gridCol w:w="4428"/>
        <w:gridCol w:w="1260"/>
        <w:gridCol w:w="1800"/>
      </w:tblGrid>
      <w:tr w:rsidR="005C788E" w:rsidRPr="005A1903">
        <w:tc>
          <w:tcPr>
            <w:tcW w:w="4428" w:type="dxa"/>
          </w:tcPr>
          <w:p w:rsidR="005C788E" w:rsidRPr="005A1903" w:rsidRDefault="005C788E" w:rsidP="005A1903">
            <w:pPr>
              <w:tabs>
                <w:tab w:val="center" w:pos="4536"/>
                <w:tab w:val="right" w:pos="9072"/>
              </w:tabs>
              <w:rPr>
                <w:i/>
              </w:rPr>
            </w:pPr>
            <w:r w:rsidRPr="005A1903">
              <w:rPr>
                <w:i/>
              </w:rPr>
              <w:t>Organ:</w:t>
            </w:r>
          </w:p>
        </w:tc>
        <w:tc>
          <w:tcPr>
            <w:tcW w:w="1260" w:type="dxa"/>
          </w:tcPr>
          <w:p w:rsidR="005C788E" w:rsidRPr="005A1903" w:rsidRDefault="005C788E" w:rsidP="005A1903">
            <w:pPr>
              <w:tabs>
                <w:tab w:val="center" w:pos="4536"/>
                <w:tab w:val="right" w:pos="9072"/>
              </w:tabs>
              <w:jc w:val="center"/>
              <w:rPr>
                <w:i/>
              </w:rPr>
            </w:pPr>
            <w:proofErr w:type="spellStart"/>
            <w:r w:rsidRPr="005A1903">
              <w:rPr>
                <w:i/>
              </w:rPr>
              <w:t>Saksnr</w:t>
            </w:r>
            <w:proofErr w:type="spellEnd"/>
            <w:r w:rsidRPr="005A1903">
              <w:rPr>
                <w:i/>
              </w:rPr>
              <w:t>.</w:t>
            </w:r>
          </w:p>
        </w:tc>
        <w:tc>
          <w:tcPr>
            <w:tcW w:w="1800" w:type="dxa"/>
          </w:tcPr>
          <w:p w:rsidR="005C788E" w:rsidRPr="005A1903" w:rsidRDefault="005C788E" w:rsidP="005A1903">
            <w:pPr>
              <w:tabs>
                <w:tab w:val="center" w:pos="4536"/>
                <w:tab w:val="right" w:pos="9072"/>
              </w:tabs>
              <w:jc w:val="center"/>
              <w:rPr>
                <w:i/>
              </w:rPr>
            </w:pPr>
            <w:r w:rsidRPr="005A1903">
              <w:rPr>
                <w:i/>
              </w:rPr>
              <w:t>Dato</w:t>
            </w:r>
          </w:p>
        </w:tc>
      </w:tr>
      <w:tr w:rsidR="005C788E" w:rsidRPr="005A1903">
        <w:tc>
          <w:tcPr>
            <w:tcW w:w="4428" w:type="dxa"/>
          </w:tcPr>
          <w:p w:rsidR="005C788E" w:rsidRPr="005A1903" w:rsidRDefault="00E273DB" w:rsidP="005A1903">
            <w:pPr>
              <w:tabs>
                <w:tab w:val="center" w:pos="4536"/>
                <w:tab w:val="right" w:pos="9072"/>
              </w:tabs>
              <w:rPr>
                <w:i/>
              </w:rPr>
            </w:pPr>
            <w:r>
              <w:rPr>
                <w:i/>
              </w:rPr>
              <w:t>Formannskapet</w:t>
            </w:r>
            <w:r w:rsidR="00122A2A">
              <w:rPr>
                <w:i/>
              </w:rPr>
              <w:t xml:space="preserve"> </w:t>
            </w:r>
          </w:p>
        </w:tc>
        <w:tc>
          <w:tcPr>
            <w:tcW w:w="1260" w:type="dxa"/>
          </w:tcPr>
          <w:p w:rsidR="005C788E" w:rsidRPr="005A1903" w:rsidRDefault="005C788E" w:rsidP="00E83CBD">
            <w:pPr>
              <w:tabs>
                <w:tab w:val="center" w:pos="4536"/>
                <w:tab w:val="right" w:pos="9072"/>
              </w:tabs>
              <w:rPr>
                <w:i/>
              </w:rPr>
            </w:pPr>
          </w:p>
        </w:tc>
        <w:tc>
          <w:tcPr>
            <w:tcW w:w="1800" w:type="dxa"/>
          </w:tcPr>
          <w:p w:rsidR="005C788E" w:rsidRPr="005A1903" w:rsidRDefault="005C788E" w:rsidP="00A619CE">
            <w:pPr>
              <w:tabs>
                <w:tab w:val="center" w:pos="4536"/>
                <w:tab w:val="right" w:pos="9072"/>
              </w:tabs>
              <w:rPr>
                <w:i/>
              </w:rPr>
            </w:pPr>
          </w:p>
        </w:tc>
      </w:tr>
      <w:tr w:rsidR="005C788E" w:rsidRPr="005A1903">
        <w:tc>
          <w:tcPr>
            <w:tcW w:w="4428" w:type="dxa"/>
          </w:tcPr>
          <w:p w:rsidR="005C788E" w:rsidRPr="005A1903" w:rsidRDefault="005C788E" w:rsidP="005A1903">
            <w:pPr>
              <w:tabs>
                <w:tab w:val="center" w:pos="4536"/>
                <w:tab w:val="right" w:pos="9072"/>
              </w:tabs>
              <w:rPr>
                <w:i/>
              </w:rPr>
            </w:pPr>
            <w:r w:rsidRPr="005A1903">
              <w:rPr>
                <w:i/>
              </w:rPr>
              <w:t>Kommunestyret</w:t>
            </w:r>
          </w:p>
        </w:tc>
        <w:tc>
          <w:tcPr>
            <w:tcW w:w="1260" w:type="dxa"/>
          </w:tcPr>
          <w:p w:rsidR="005C788E" w:rsidRPr="005A1903" w:rsidRDefault="005C788E" w:rsidP="00E83CBD">
            <w:pPr>
              <w:tabs>
                <w:tab w:val="center" w:pos="4536"/>
                <w:tab w:val="right" w:pos="9072"/>
              </w:tabs>
              <w:rPr>
                <w:i/>
              </w:rPr>
            </w:pPr>
          </w:p>
        </w:tc>
        <w:tc>
          <w:tcPr>
            <w:tcW w:w="1800" w:type="dxa"/>
          </w:tcPr>
          <w:p w:rsidR="005C788E" w:rsidRPr="005A1903" w:rsidRDefault="005C788E" w:rsidP="00A619CE">
            <w:pPr>
              <w:tabs>
                <w:tab w:val="center" w:pos="4536"/>
                <w:tab w:val="right" w:pos="9072"/>
              </w:tabs>
              <w:rPr>
                <w:i/>
              </w:rPr>
            </w:pPr>
          </w:p>
        </w:tc>
      </w:tr>
    </w:tbl>
    <w:p w:rsidR="003956FA" w:rsidRDefault="003956FA" w:rsidP="004C1BD0">
      <w:pPr>
        <w:rPr>
          <w:b/>
          <w:sz w:val="36"/>
          <w:szCs w:val="36"/>
        </w:rPr>
      </w:pPr>
    </w:p>
    <w:p w:rsidR="009816C2" w:rsidRDefault="009816C2" w:rsidP="004C1BD0">
      <w:pPr>
        <w:rPr>
          <w:b/>
          <w:sz w:val="36"/>
          <w:szCs w:val="36"/>
        </w:rPr>
      </w:pPr>
    </w:p>
    <w:p w:rsidR="009816C2" w:rsidRDefault="009816C2" w:rsidP="004C1BD0">
      <w:pPr>
        <w:rPr>
          <w:b/>
          <w:sz w:val="36"/>
          <w:szCs w:val="36"/>
        </w:rPr>
      </w:pPr>
    </w:p>
    <w:p w:rsidR="008F27C7" w:rsidRDefault="008F27C7" w:rsidP="004C1BD0">
      <w:pPr>
        <w:rPr>
          <w:b/>
          <w:sz w:val="36"/>
          <w:szCs w:val="36"/>
        </w:rPr>
      </w:pPr>
    </w:p>
    <w:p w:rsidR="00387448" w:rsidRDefault="00387448" w:rsidP="004C1BD0">
      <w:pPr>
        <w:rPr>
          <w:sz w:val="36"/>
          <w:szCs w:val="36"/>
        </w:rPr>
      </w:pPr>
      <w:r>
        <w:rPr>
          <w:b/>
          <w:sz w:val="36"/>
          <w:szCs w:val="36"/>
        </w:rPr>
        <w:lastRenderedPageBreak/>
        <w:t>INNHOLDSFORTEGNELSE</w:t>
      </w:r>
    </w:p>
    <w:p w:rsidR="00387448" w:rsidRDefault="00387448" w:rsidP="004C1BD0"/>
    <w:p w:rsidR="00E441E6" w:rsidRDefault="00CE0887">
      <w:pPr>
        <w:pStyle w:val="INNH1"/>
        <w:tabs>
          <w:tab w:val="left" w:pos="480"/>
          <w:tab w:val="right" w:leader="dot" w:pos="9062"/>
        </w:tabs>
        <w:rPr>
          <w:rFonts w:asciiTheme="minorHAnsi" w:eastAsiaTheme="minorEastAsia" w:hAnsiTheme="minorHAnsi" w:cstheme="minorBidi"/>
          <w:noProof/>
          <w:sz w:val="22"/>
          <w:szCs w:val="22"/>
        </w:rPr>
      </w:pPr>
      <w:r>
        <w:rPr>
          <w:b/>
          <w:sz w:val="36"/>
          <w:szCs w:val="36"/>
        </w:rPr>
        <w:fldChar w:fldCharType="begin"/>
      </w:r>
      <w:r w:rsidR="00C11687">
        <w:rPr>
          <w:b/>
          <w:sz w:val="36"/>
          <w:szCs w:val="36"/>
        </w:rPr>
        <w:instrText xml:space="preserve"> TOC \o "1-3" \h \z \u </w:instrText>
      </w:r>
      <w:r>
        <w:rPr>
          <w:b/>
          <w:sz w:val="36"/>
          <w:szCs w:val="36"/>
        </w:rPr>
        <w:fldChar w:fldCharType="separate"/>
      </w:r>
      <w:hyperlink w:anchor="_Toc497893541" w:history="1">
        <w:r w:rsidR="00E441E6" w:rsidRPr="00C2135E">
          <w:rPr>
            <w:rStyle w:val="Hyperkobling"/>
            <w:noProof/>
          </w:rPr>
          <w:t>1.</w:t>
        </w:r>
        <w:r w:rsidR="00E441E6">
          <w:rPr>
            <w:rFonts w:asciiTheme="minorHAnsi" w:eastAsiaTheme="minorEastAsia" w:hAnsiTheme="minorHAnsi" w:cstheme="minorBidi"/>
            <w:noProof/>
            <w:sz w:val="22"/>
            <w:szCs w:val="22"/>
          </w:rPr>
          <w:tab/>
        </w:r>
        <w:r w:rsidR="00E441E6" w:rsidRPr="00C2135E">
          <w:rPr>
            <w:rStyle w:val="Hyperkobling"/>
            <w:noProof/>
          </w:rPr>
          <w:t>Innledning/sammendrag</w:t>
        </w:r>
        <w:r w:rsidR="00E441E6">
          <w:rPr>
            <w:noProof/>
            <w:webHidden/>
          </w:rPr>
          <w:tab/>
        </w:r>
        <w:r w:rsidR="00E441E6">
          <w:rPr>
            <w:noProof/>
            <w:webHidden/>
          </w:rPr>
          <w:fldChar w:fldCharType="begin"/>
        </w:r>
        <w:r w:rsidR="00E441E6">
          <w:rPr>
            <w:noProof/>
            <w:webHidden/>
          </w:rPr>
          <w:instrText xml:space="preserve"> PAGEREF _Toc497893541 \h </w:instrText>
        </w:r>
        <w:r w:rsidR="00E441E6">
          <w:rPr>
            <w:noProof/>
            <w:webHidden/>
          </w:rPr>
        </w:r>
        <w:r w:rsidR="00E441E6">
          <w:rPr>
            <w:noProof/>
            <w:webHidden/>
          </w:rPr>
          <w:fldChar w:fldCharType="separate"/>
        </w:r>
        <w:r w:rsidR="00E441E6">
          <w:rPr>
            <w:noProof/>
            <w:webHidden/>
          </w:rPr>
          <w:t>3</w:t>
        </w:r>
        <w:r w:rsidR="00E441E6">
          <w:rPr>
            <w:noProof/>
            <w:webHidden/>
          </w:rPr>
          <w:fldChar w:fldCharType="end"/>
        </w:r>
      </w:hyperlink>
    </w:p>
    <w:p w:rsidR="00E441E6" w:rsidRDefault="00E441E6">
      <w:pPr>
        <w:pStyle w:val="INNH1"/>
        <w:tabs>
          <w:tab w:val="left" w:pos="480"/>
          <w:tab w:val="right" w:leader="dot" w:pos="9062"/>
        </w:tabs>
        <w:rPr>
          <w:rFonts w:asciiTheme="minorHAnsi" w:eastAsiaTheme="minorEastAsia" w:hAnsiTheme="minorHAnsi" w:cstheme="minorBidi"/>
          <w:noProof/>
          <w:sz w:val="22"/>
          <w:szCs w:val="22"/>
        </w:rPr>
      </w:pPr>
      <w:hyperlink w:anchor="_Toc497893542" w:history="1">
        <w:r w:rsidRPr="00C2135E">
          <w:rPr>
            <w:rStyle w:val="Hyperkobling"/>
            <w:noProof/>
          </w:rPr>
          <w:t>2.</w:t>
        </w:r>
        <w:r>
          <w:rPr>
            <w:rFonts w:asciiTheme="minorHAnsi" w:eastAsiaTheme="minorEastAsia" w:hAnsiTheme="minorHAnsi" w:cstheme="minorBidi"/>
            <w:noProof/>
            <w:sz w:val="22"/>
            <w:szCs w:val="22"/>
          </w:rPr>
          <w:tab/>
        </w:r>
        <w:r w:rsidRPr="00C2135E">
          <w:rPr>
            <w:rStyle w:val="Hyperkobling"/>
            <w:noProof/>
          </w:rPr>
          <w:t>Kommunens rammebetingelser</w:t>
        </w:r>
        <w:r>
          <w:rPr>
            <w:noProof/>
            <w:webHidden/>
          </w:rPr>
          <w:tab/>
        </w:r>
        <w:r>
          <w:rPr>
            <w:noProof/>
            <w:webHidden/>
          </w:rPr>
          <w:fldChar w:fldCharType="begin"/>
        </w:r>
        <w:r>
          <w:rPr>
            <w:noProof/>
            <w:webHidden/>
          </w:rPr>
          <w:instrText xml:space="preserve"> PAGEREF _Toc497893542 \h </w:instrText>
        </w:r>
        <w:r>
          <w:rPr>
            <w:noProof/>
            <w:webHidden/>
          </w:rPr>
        </w:r>
        <w:r>
          <w:rPr>
            <w:noProof/>
            <w:webHidden/>
          </w:rPr>
          <w:fldChar w:fldCharType="separate"/>
        </w:r>
        <w:r>
          <w:rPr>
            <w:noProof/>
            <w:webHidden/>
          </w:rPr>
          <w:t>9</w:t>
        </w:r>
        <w:r>
          <w:rPr>
            <w:noProof/>
            <w:webHidden/>
          </w:rPr>
          <w:fldChar w:fldCharType="end"/>
        </w:r>
      </w:hyperlink>
    </w:p>
    <w:p w:rsidR="00E441E6" w:rsidRDefault="00E441E6">
      <w:pPr>
        <w:pStyle w:val="INNH2"/>
        <w:tabs>
          <w:tab w:val="left" w:pos="660"/>
          <w:tab w:val="right" w:leader="dot" w:pos="9062"/>
        </w:tabs>
        <w:rPr>
          <w:rFonts w:asciiTheme="minorHAnsi" w:eastAsiaTheme="minorEastAsia" w:hAnsiTheme="minorHAnsi" w:cstheme="minorBidi"/>
          <w:noProof/>
          <w:sz w:val="22"/>
          <w:szCs w:val="22"/>
        </w:rPr>
      </w:pPr>
      <w:hyperlink w:anchor="_Toc497893543" w:history="1">
        <w:r w:rsidRPr="00C2135E">
          <w:rPr>
            <w:rStyle w:val="Hyperkobling"/>
            <w:noProof/>
          </w:rPr>
          <w:t>a)</w:t>
        </w:r>
        <w:r>
          <w:rPr>
            <w:rFonts w:asciiTheme="minorHAnsi" w:eastAsiaTheme="minorEastAsia" w:hAnsiTheme="minorHAnsi" w:cstheme="minorBidi"/>
            <w:noProof/>
            <w:sz w:val="22"/>
            <w:szCs w:val="22"/>
          </w:rPr>
          <w:tab/>
        </w:r>
        <w:r w:rsidRPr="00C2135E">
          <w:rPr>
            <w:rStyle w:val="Hyperkobling"/>
            <w:noProof/>
          </w:rPr>
          <w:t>Befolkningsutvikling</w:t>
        </w:r>
        <w:r>
          <w:rPr>
            <w:noProof/>
            <w:webHidden/>
          </w:rPr>
          <w:tab/>
        </w:r>
        <w:r>
          <w:rPr>
            <w:noProof/>
            <w:webHidden/>
          </w:rPr>
          <w:fldChar w:fldCharType="begin"/>
        </w:r>
        <w:r>
          <w:rPr>
            <w:noProof/>
            <w:webHidden/>
          </w:rPr>
          <w:instrText xml:space="preserve"> PAGEREF _Toc497893543 \h </w:instrText>
        </w:r>
        <w:r>
          <w:rPr>
            <w:noProof/>
            <w:webHidden/>
          </w:rPr>
        </w:r>
        <w:r>
          <w:rPr>
            <w:noProof/>
            <w:webHidden/>
          </w:rPr>
          <w:fldChar w:fldCharType="separate"/>
        </w:r>
        <w:r>
          <w:rPr>
            <w:noProof/>
            <w:webHidden/>
          </w:rPr>
          <w:t>9</w:t>
        </w:r>
        <w:r>
          <w:rPr>
            <w:noProof/>
            <w:webHidden/>
          </w:rPr>
          <w:fldChar w:fldCharType="end"/>
        </w:r>
      </w:hyperlink>
    </w:p>
    <w:p w:rsidR="00E441E6" w:rsidRDefault="00E441E6">
      <w:pPr>
        <w:pStyle w:val="INNH3"/>
        <w:tabs>
          <w:tab w:val="left" w:pos="1320"/>
          <w:tab w:val="right" w:leader="dot" w:pos="9062"/>
        </w:tabs>
        <w:rPr>
          <w:rFonts w:asciiTheme="minorHAnsi" w:eastAsiaTheme="minorEastAsia" w:hAnsiTheme="minorHAnsi" w:cstheme="minorBidi"/>
          <w:noProof/>
          <w:sz w:val="22"/>
          <w:szCs w:val="22"/>
        </w:rPr>
      </w:pPr>
      <w:hyperlink w:anchor="_Toc497893544" w:history="1">
        <w:r w:rsidRPr="00C2135E">
          <w:rPr>
            <w:rStyle w:val="Hyperkobling"/>
            <w:noProof/>
          </w:rPr>
          <w:t>2.a.1.</w:t>
        </w:r>
        <w:r>
          <w:rPr>
            <w:rFonts w:asciiTheme="minorHAnsi" w:eastAsiaTheme="minorEastAsia" w:hAnsiTheme="minorHAnsi" w:cstheme="minorBidi"/>
            <w:noProof/>
            <w:sz w:val="22"/>
            <w:szCs w:val="22"/>
          </w:rPr>
          <w:tab/>
        </w:r>
        <w:r w:rsidRPr="00C2135E">
          <w:rPr>
            <w:rStyle w:val="Hyperkobling"/>
            <w:noProof/>
          </w:rPr>
          <w:t>Utvikling i befolkningen siste 8 år</w:t>
        </w:r>
        <w:r>
          <w:rPr>
            <w:noProof/>
            <w:webHidden/>
          </w:rPr>
          <w:tab/>
        </w:r>
        <w:r>
          <w:rPr>
            <w:noProof/>
            <w:webHidden/>
          </w:rPr>
          <w:fldChar w:fldCharType="begin"/>
        </w:r>
        <w:r>
          <w:rPr>
            <w:noProof/>
            <w:webHidden/>
          </w:rPr>
          <w:instrText xml:space="preserve"> PAGEREF _Toc497893544 \h </w:instrText>
        </w:r>
        <w:r>
          <w:rPr>
            <w:noProof/>
            <w:webHidden/>
          </w:rPr>
        </w:r>
        <w:r>
          <w:rPr>
            <w:noProof/>
            <w:webHidden/>
          </w:rPr>
          <w:fldChar w:fldCharType="separate"/>
        </w:r>
        <w:r>
          <w:rPr>
            <w:noProof/>
            <w:webHidden/>
          </w:rPr>
          <w:t>9</w:t>
        </w:r>
        <w:r>
          <w:rPr>
            <w:noProof/>
            <w:webHidden/>
          </w:rPr>
          <w:fldChar w:fldCharType="end"/>
        </w:r>
      </w:hyperlink>
    </w:p>
    <w:p w:rsidR="00E441E6" w:rsidRDefault="00E441E6">
      <w:pPr>
        <w:pStyle w:val="INNH3"/>
        <w:tabs>
          <w:tab w:val="left" w:pos="1320"/>
          <w:tab w:val="right" w:leader="dot" w:pos="9062"/>
        </w:tabs>
        <w:rPr>
          <w:rFonts w:asciiTheme="minorHAnsi" w:eastAsiaTheme="minorEastAsia" w:hAnsiTheme="minorHAnsi" w:cstheme="minorBidi"/>
          <w:noProof/>
          <w:sz w:val="22"/>
          <w:szCs w:val="22"/>
        </w:rPr>
      </w:pPr>
      <w:hyperlink w:anchor="_Toc497893545" w:history="1">
        <w:r w:rsidRPr="00C2135E">
          <w:rPr>
            <w:rStyle w:val="Hyperkobling"/>
            <w:noProof/>
          </w:rPr>
          <w:t>2.a.2.</w:t>
        </w:r>
        <w:r>
          <w:rPr>
            <w:rFonts w:asciiTheme="minorHAnsi" w:eastAsiaTheme="minorEastAsia" w:hAnsiTheme="minorHAnsi" w:cstheme="minorBidi"/>
            <w:noProof/>
            <w:sz w:val="22"/>
            <w:szCs w:val="22"/>
          </w:rPr>
          <w:tab/>
        </w:r>
        <w:r w:rsidRPr="00C2135E">
          <w:rPr>
            <w:rStyle w:val="Hyperkobling"/>
            <w:noProof/>
          </w:rPr>
          <w:t>Prognose folketall for neste år og for økonomiplanperioden</w:t>
        </w:r>
        <w:r>
          <w:rPr>
            <w:noProof/>
            <w:webHidden/>
          </w:rPr>
          <w:tab/>
        </w:r>
        <w:r>
          <w:rPr>
            <w:noProof/>
            <w:webHidden/>
          </w:rPr>
          <w:fldChar w:fldCharType="begin"/>
        </w:r>
        <w:r>
          <w:rPr>
            <w:noProof/>
            <w:webHidden/>
          </w:rPr>
          <w:instrText xml:space="preserve"> PAGEREF _Toc497893545 \h </w:instrText>
        </w:r>
        <w:r>
          <w:rPr>
            <w:noProof/>
            <w:webHidden/>
          </w:rPr>
        </w:r>
        <w:r>
          <w:rPr>
            <w:noProof/>
            <w:webHidden/>
          </w:rPr>
          <w:fldChar w:fldCharType="separate"/>
        </w:r>
        <w:r>
          <w:rPr>
            <w:noProof/>
            <w:webHidden/>
          </w:rPr>
          <w:t>10</w:t>
        </w:r>
        <w:r>
          <w:rPr>
            <w:noProof/>
            <w:webHidden/>
          </w:rPr>
          <w:fldChar w:fldCharType="end"/>
        </w:r>
      </w:hyperlink>
    </w:p>
    <w:p w:rsidR="00E441E6" w:rsidRDefault="00E441E6">
      <w:pPr>
        <w:pStyle w:val="INNH2"/>
        <w:tabs>
          <w:tab w:val="left" w:pos="880"/>
          <w:tab w:val="right" w:leader="dot" w:pos="9062"/>
        </w:tabs>
        <w:rPr>
          <w:rFonts w:asciiTheme="minorHAnsi" w:eastAsiaTheme="minorEastAsia" w:hAnsiTheme="minorHAnsi" w:cstheme="minorBidi"/>
          <w:noProof/>
          <w:sz w:val="22"/>
          <w:szCs w:val="22"/>
        </w:rPr>
      </w:pPr>
      <w:hyperlink w:anchor="_Toc497893546" w:history="1">
        <w:r w:rsidRPr="00C2135E">
          <w:rPr>
            <w:rStyle w:val="Hyperkobling"/>
            <w:noProof/>
          </w:rPr>
          <w:t>b)</w:t>
        </w:r>
        <w:r>
          <w:rPr>
            <w:rFonts w:asciiTheme="minorHAnsi" w:eastAsiaTheme="minorEastAsia" w:hAnsiTheme="minorHAnsi" w:cstheme="minorBidi"/>
            <w:noProof/>
            <w:sz w:val="22"/>
            <w:szCs w:val="22"/>
          </w:rPr>
          <w:tab/>
        </w:r>
        <w:r w:rsidRPr="00C2135E">
          <w:rPr>
            <w:rStyle w:val="Hyperkobling"/>
            <w:noProof/>
          </w:rPr>
          <w:t>Frie inntekter</w:t>
        </w:r>
        <w:r>
          <w:rPr>
            <w:noProof/>
            <w:webHidden/>
          </w:rPr>
          <w:tab/>
        </w:r>
        <w:r>
          <w:rPr>
            <w:noProof/>
            <w:webHidden/>
          </w:rPr>
          <w:fldChar w:fldCharType="begin"/>
        </w:r>
        <w:r>
          <w:rPr>
            <w:noProof/>
            <w:webHidden/>
          </w:rPr>
          <w:instrText xml:space="preserve"> PAGEREF _Toc497893546 \h </w:instrText>
        </w:r>
        <w:r>
          <w:rPr>
            <w:noProof/>
            <w:webHidden/>
          </w:rPr>
        </w:r>
        <w:r>
          <w:rPr>
            <w:noProof/>
            <w:webHidden/>
          </w:rPr>
          <w:fldChar w:fldCharType="separate"/>
        </w:r>
        <w:r>
          <w:rPr>
            <w:noProof/>
            <w:webHidden/>
          </w:rPr>
          <w:t>10</w:t>
        </w:r>
        <w:r>
          <w:rPr>
            <w:noProof/>
            <w:webHidden/>
          </w:rPr>
          <w:fldChar w:fldCharType="end"/>
        </w:r>
      </w:hyperlink>
    </w:p>
    <w:p w:rsidR="00E441E6" w:rsidRDefault="00E441E6">
      <w:pPr>
        <w:pStyle w:val="INNH3"/>
        <w:tabs>
          <w:tab w:val="left" w:pos="1320"/>
          <w:tab w:val="right" w:leader="dot" w:pos="9062"/>
        </w:tabs>
        <w:rPr>
          <w:rFonts w:asciiTheme="minorHAnsi" w:eastAsiaTheme="minorEastAsia" w:hAnsiTheme="minorHAnsi" w:cstheme="minorBidi"/>
          <w:noProof/>
          <w:sz w:val="22"/>
          <w:szCs w:val="22"/>
        </w:rPr>
      </w:pPr>
      <w:hyperlink w:anchor="_Toc497893547" w:history="1">
        <w:r w:rsidRPr="00C2135E">
          <w:rPr>
            <w:rStyle w:val="Hyperkobling"/>
            <w:noProof/>
          </w:rPr>
          <w:t>2.b.1.</w:t>
        </w:r>
        <w:r>
          <w:rPr>
            <w:rFonts w:asciiTheme="minorHAnsi" w:eastAsiaTheme="minorEastAsia" w:hAnsiTheme="minorHAnsi" w:cstheme="minorBidi"/>
            <w:noProof/>
            <w:sz w:val="22"/>
            <w:szCs w:val="22"/>
          </w:rPr>
          <w:tab/>
        </w:r>
        <w:r w:rsidRPr="00C2135E">
          <w:rPr>
            <w:rStyle w:val="Hyperkobling"/>
            <w:noProof/>
          </w:rPr>
          <w:t>Skatt og rammetilskudd</w:t>
        </w:r>
        <w:r>
          <w:rPr>
            <w:noProof/>
            <w:webHidden/>
          </w:rPr>
          <w:tab/>
        </w:r>
        <w:r>
          <w:rPr>
            <w:noProof/>
            <w:webHidden/>
          </w:rPr>
          <w:fldChar w:fldCharType="begin"/>
        </w:r>
        <w:r>
          <w:rPr>
            <w:noProof/>
            <w:webHidden/>
          </w:rPr>
          <w:instrText xml:space="preserve"> PAGEREF _Toc497893547 \h </w:instrText>
        </w:r>
        <w:r>
          <w:rPr>
            <w:noProof/>
            <w:webHidden/>
          </w:rPr>
        </w:r>
        <w:r>
          <w:rPr>
            <w:noProof/>
            <w:webHidden/>
          </w:rPr>
          <w:fldChar w:fldCharType="separate"/>
        </w:r>
        <w:r>
          <w:rPr>
            <w:noProof/>
            <w:webHidden/>
          </w:rPr>
          <w:t>10</w:t>
        </w:r>
        <w:r>
          <w:rPr>
            <w:noProof/>
            <w:webHidden/>
          </w:rPr>
          <w:fldChar w:fldCharType="end"/>
        </w:r>
      </w:hyperlink>
    </w:p>
    <w:p w:rsidR="00E441E6" w:rsidRDefault="00E441E6">
      <w:pPr>
        <w:pStyle w:val="INNH3"/>
        <w:tabs>
          <w:tab w:val="left" w:pos="1320"/>
          <w:tab w:val="right" w:leader="dot" w:pos="9062"/>
        </w:tabs>
        <w:rPr>
          <w:rFonts w:asciiTheme="minorHAnsi" w:eastAsiaTheme="minorEastAsia" w:hAnsiTheme="minorHAnsi" w:cstheme="minorBidi"/>
          <w:noProof/>
          <w:sz w:val="22"/>
          <w:szCs w:val="22"/>
        </w:rPr>
      </w:pPr>
      <w:hyperlink w:anchor="_Toc497893548" w:history="1">
        <w:r w:rsidRPr="00C2135E">
          <w:rPr>
            <w:rStyle w:val="Hyperkobling"/>
            <w:noProof/>
          </w:rPr>
          <w:t>2.b.2.</w:t>
        </w:r>
        <w:r>
          <w:rPr>
            <w:rFonts w:asciiTheme="minorHAnsi" w:eastAsiaTheme="minorEastAsia" w:hAnsiTheme="minorHAnsi" w:cstheme="minorBidi"/>
            <w:noProof/>
            <w:sz w:val="22"/>
            <w:szCs w:val="22"/>
          </w:rPr>
          <w:tab/>
        </w:r>
        <w:r w:rsidRPr="00C2135E">
          <w:rPr>
            <w:rStyle w:val="Hyperkobling"/>
            <w:noProof/>
          </w:rPr>
          <w:t>Eiendomsskatt</w:t>
        </w:r>
        <w:r>
          <w:rPr>
            <w:noProof/>
            <w:webHidden/>
          </w:rPr>
          <w:tab/>
        </w:r>
        <w:r>
          <w:rPr>
            <w:noProof/>
            <w:webHidden/>
          </w:rPr>
          <w:fldChar w:fldCharType="begin"/>
        </w:r>
        <w:r>
          <w:rPr>
            <w:noProof/>
            <w:webHidden/>
          </w:rPr>
          <w:instrText xml:space="preserve"> PAGEREF _Toc497893548 \h </w:instrText>
        </w:r>
        <w:r>
          <w:rPr>
            <w:noProof/>
            <w:webHidden/>
          </w:rPr>
        </w:r>
        <w:r>
          <w:rPr>
            <w:noProof/>
            <w:webHidden/>
          </w:rPr>
          <w:fldChar w:fldCharType="separate"/>
        </w:r>
        <w:r>
          <w:rPr>
            <w:noProof/>
            <w:webHidden/>
          </w:rPr>
          <w:t>11</w:t>
        </w:r>
        <w:r>
          <w:rPr>
            <w:noProof/>
            <w:webHidden/>
          </w:rPr>
          <w:fldChar w:fldCharType="end"/>
        </w:r>
      </w:hyperlink>
    </w:p>
    <w:p w:rsidR="00E441E6" w:rsidRDefault="00E441E6">
      <w:pPr>
        <w:pStyle w:val="INNH3"/>
        <w:tabs>
          <w:tab w:val="left" w:pos="1320"/>
          <w:tab w:val="right" w:leader="dot" w:pos="9062"/>
        </w:tabs>
        <w:rPr>
          <w:rFonts w:asciiTheme="minorHAnsi" w:eastAsiaTheme="minorEastAsia" w:hAnsiTheme="minorHAnsi" w:cstheme="minorBidi"/>
          <w:noProof/>
          <w:sz w:val="22"/>
          <w:szCs w:val="22"/>
        </w:rPr>
      </w:pPr>
      <w:hyperlink w:anchor="_Toc497893549" w:history="1">
        <w:r w:rsidRPr="00C2135E">
          <w:rPr>
            <w:rStyle w:val="Hyperkobling"/>
            <w:noProof/>
          </w:rPr>
          <w:t>2.b.3.</w:t>
        </w:r>
        <w:r>
          <w:rPr>
            <w:rFonts w:asciiTheme="minorHAnsi" w:eastAsiaTheme="minorEastAsia" w:hAnsiTheme="minorHAnsi" w:cstheme="minorBidi"/>
            <w:noProof/>
            <w:sz w:val="22"/>
            <w:szCs w:val="22"/>
          </w:rPr>
          <w:tab/>
        </w:r>
        <w:r w:rsidRPr="00C2135E">
          <w:rPr>
            <w:rStyle w:val="Hyperkobling"/>
            <w:noProof/>
          </w:rPr>
          <w:t>Momskompensasjon</w:t>
        </w:r>
        <w:r>
          <w:rPr>
            <w:noProof/>
            <w:webHidden/>
          </w:rPr>
          <w:tab/>
        </w:r>
        <w:r>
          <w:rPr>
            <w:noProof/>
            <w:webHidden/>
          </w:rPr>
          <w:fldChar w:fldCharType="begin"/>
        </w:r>
        <w:r>
          <w:rPr>
            <w:noProof/>
            <w:webHidden/>
          </w:rPr>
          <w:instrText xml:space="preserve"> PAGEREF _Toc497893549 \h </w:instrText>
        </w:r>
        <w:r>
          <w:rPr>
            <w:noProof/>
            <w:webHidden/>
          </w:rPr>
        </w:r>
        <w:r>
          <w:rPr>
            <w:noProof/>
            <w:webHidden/>
          </w:rPr>
          <w:fldChar w:fldCharType="separate"/>
        </w:r>
        <w:r>
          <w:rPr>
            <w:noProof/>
            <w:webHidden/>
          </w:rPr>
          <w:t>11</w:t>
        </w:r>
        <w:r>
          <w:rPr>
            <w:noProof/>
            <w:webHidden/>
          </w:rPr>
          <w:fldChar w:fldCharType="end"/>
        </w:r>
      </w:hyperlink>
    </w:p>
    <w:p w:rsidR="00E441E6" w:rsidRDefault="00E441E6">
      <w:pPr>
        <w:pStyle w:val="INNH3"/>
        <w:tabs>
          <w:tab w:val="left" w:pos="1320"/>
          <w:tab w:val="right" w:leader="dot" w:pos="9062"/>
        </w:tabs>
        <w:rPr>
          <w:rFonts w:asciiTheme="minorHAnsi" w:eastAsiaTheme="minorEastAsia" w:hAnsiTheme="minorHAnsi" w:cstheme="minorBidi"/>
          <w:noProof/>
          <w:sz w:val="22"/>
          <w:szCs w:val="22"/>
        </w:rPr>
      </w:pPr>
      <w:hyperlink w:anchor="_Toc497893550" w:history="1">
        <w:r w:rsidRPr="00C2135E">
          <w:rPr>
            <w:rStyle w:val="Hyperkobling"/>
            <w:noProof/>
          </w:rPr>
          <w:t>2.b.4.</w:t>
        </w:r>
        <w:r>
          <w:rPr>
            <w:rFonts w:asciiTheme="minorHAnsi" w:eastAsiaTheme="minorEastAsia" w:hAnsiTheme="minorHAnsi" w:cstheme="minorBidi"/>
            <w:noProof/>
            <w:sz w:val="22"/>
            <w:szCs w:val="22"/>
          </w:rPr>
          <w:tab/>
        </w:r>
        <w:r w:rsidRPr="00C2135E">
          <w:rPr>
            <w:rStyle w:val="Hyperkobling"/>
            <w:noProof/>
          </w:rPr>
          <w:t>Rentekompensasjon for investeringer</w:t>
        </w:r>
        <w:r>
          <w:rPr>
            <w:noProof/>
            <w:webHidden/>
          </w:rPr>
          <w:tab/>
        </w:r>
        <w:r>
          <w:rPr>
            <w:noProof/>
            <w:webHidden/>
          </w:rPr>
          <w:fldChar w:fldCharType="begin"/>
        </w:r>
        <w:r>
          <w:rPr>
            <w:noProof/>
            <w:webHidden/>
          </w:rPr>
          <w:instrText xml:space="preserve"> PAGEREF _Toc497893550 \h </w:instrText>
        </w:r>
        <w:r>
          <w:rPr>
            <w:noProof/>
            <w:webHidden/>
          </w:rPr>
        </w:r>
        <w:r>
          <w:rPr>
            <w:noProof/>
            <w:webHidden/>
          </w:rPr>
          <w:fldChar w:fldCharType="separate"/>
        </w:r>
        <w:r>
          <w:rPr>
            <w:noProof/>
            <w:webHidden/>
          </w:rPr>
          <w:t>12</w:t>
        </w:r>
        <w:r>
          <w:rPr>
            <w:noProof/>
            <w:webHidden/>
          </w:rPr>
          <w:fldChar w:fldCharType="end"/>
        </w:r>
      </w:hyperlink>
    </w:p>
    <w:p w:rsidR="00E441E6" w:rsidRDefault="00E441E6">
      <w:pPr>
        <w:pStyle w:val="INNH2"/>
        <w:tabs>
          <w:tab w:val="left" w:pos="660"/>
          <w:tab w:val="right" w:leader="dot" w:pos="9062"/>
        </w:tabs>
        <w:rPr>
          <w:rFonts w:asciiTheme="minorHAnsi" w:eastAsiaTheme="minorEastAsia" w:hAnsiTheme="minorHAnsi" w:cstheme="minorBidi"/>
          <w:noProof/>
          <w:sz w:val="22"/>
          <w:szCs w:val="22"/>
        </w:rPr>
      </w:pPr>
      <w:hyperlink w:anchor="_Toc497893551" w:history="1">
        <w:r w:rsidRPr="00C2135E">
          <w:rPr>
            <w:rStyle w:val="Hyperkobling"/>
            <w:noProof/>
          </w:rPr>
          <w:t>c)</w:t>
        </w:r>
        <w:r>
          <w:rPr>
            <w:rFonts w:asciiTheme="minorHAnsi" w:eastAsiaTheme="minorEastAsia" w:hAnsiTheme="minorHAnsi" w:cstheme="minorBidi"/>
            <w:noProof/>
            <w:sz w:val="22"/>
            <w:szCs w:val="22"/>
          </w:rPr>
          <w:tab/>
        </w:r>
        <w:r w:rsidRPr="00C2135E">
          <w:rPr>
            <w:rStyle w:val="Hyperkobling"/>
            <w:noProof/>
          </w:rPr>
          <w:t>Lønns- og prisvekst, endringer i pensjonsutgiftene</w:t>
        </w:r>
        <w:r>
          <w:rPr>
            <w:noProof/>
            <w:webHidden/>
          </w:rPr>
          <w:tab/>
        </w:r>
        <w:r>
          <w:rPr>
            <w:noProof/>
            <w:webHidden/>
          </w:rPr>
          <w:fldChar w:fldCharType="begin"/>
        </w:r>
        <w:r>
          <w:rPr>
            <w:noProof/>
            <w:webHidden/>
          </w:rPr>
          <w:instrText xml:space="preserve"> PAGEREF _Toc497893551 \h </w:instrText>
        </w:r>
        <w:r>
          <w:rPr>
            <w:noProof/>
            <w:webHidden/>
          </w:rPr>
        </w:r>
        <w:r>
          <w:rPr>
            <w:noProof/>
            <w:webHidden/>
          </w:rPr>
          <w:fldChar w:fldCharType="separate"/>
        </w:r>
        <w:r>
          <w:rPr>
            <w:noProof/>
            <w:webHidden/>
          </w:rPr>
          <w:t>12</w:t>
        </w:r>
        <w:r>
          <w:rPr>
            <w:noProof/>
            <w:webHidden/>
          </w:rPr>
          <w:fldChar w:fldCharType="end"/>
        </w:r>
      </w:hyperlink>
    </w:p>
    <w:p w:rsidR="00E441E6" w:rsidRDefault="00E441E6">
      <w:pPr>
        <w:pStyle w:val="INNH1"/>
        <w:tabs>
          <w:tab w:val="left" w:pos="480"/>
          <w:tab w:val="right" w:leader="dot" w:pos="9062"/>
        </w:tabs>
        <w:rPr>
          <w:rFonts w:asciiTheme="minorHAnsi" w:eastAsiaTheme="minorEastAsia" w:hAnsiTheme="minorHAnsi" w:cstheme="minorBidi"/>
          <w:noProof/>
          <w:sz w:val="22"/>
          <w:szCs w:val="22"/>
        </w:rPr>
      </w:pPr>
      <w:hyperlink w:anchor="_Toc497893552" w:history="1">
        <w:r w:rsidRPr="00C2135E">
          <w:rPr>
            <w:rStyle w:val="Hyperkobling"/>
            <w:noProof/>
          </w:rPr>
          <w:t>4.</w:t>
        </w:r>
        <w:r>
          <w:rPr>
            <w:rFonts w:asciiTheme="minorHAnsi" w:eastAsiaTheme="minorEastAsia" w:hAnsiTheme="minorHAnsi" w:cstheme="minorBidi"/>
            <w:noProof/>
            <w:sz w:val="22"/>
            <w:szCs w:val="22"/>
          </w:rPr>
          <w:tab/>
        </w:r>
        <w:r w:rsidRPr="00C2135E">
          <w:rPr>
            <w:rStyle w:val="Hyperkobling"/>
            <w:noProof/>
          </w:rPr>
          <w:t>Kommunestyrets vedtak og kulepunkter</w:t>
        </w:r>
        <w:r>
          <w:rPr>
            <w:noProof/>
            <w:webHidden/>
          </w:rPr>
          <w:tab/>
        </w:r>
        <w:r>
          <w:rPr>
            <w:noProof/>
            <w:webHidden/>
          </w:rPr>
          <w:fldChar w:fldCharType="begin"/>
        </w:r>
        <w:r>
          <w:rPr>
            <w:noProof/>
            <w:webHidden/>
          </w:rPr>
          <w:instrText xml:space="preserve"> PAGEREF _Toc497893552 \h </w:instrText>
        </w:r>
        <w:r>
          <w:rPr>
            <w:noProof/>
            <w:webHidden/>
          </w:rPr>
        </w:r>
        <w:r>
          <w:rPr>
            <w:noProof/>
            <w:webHidden/>
          </w:rPr>
          <w:fldChar w:fldCharType="separate"/>
        </w:r>
        <w:r>
          <w:rPr>
            <w:noProof/>
            <w:webHidden/>
          </w:rPr>
          <w:t>15</w:t>
        </w:r>
        <w:r>
          <w:rPr>
            <w:noProof/>
            <w:webHidden/>
          </w:rPr>
          <w:fldChar w:fldCharType="end"/>
        </w:r>
      </w:hyperlink>
    </w:p>
    <w:p w:rsidR="00E441E6" w:rsidRDefault="00E441E6">
      <w:pPr>
        <w:pStyle w:val="INNH1"/>
        <w:tabs>
          <w:tab w:val="left" w:pos="480"/>
          <w:tab w:val="right" w:leader="dot" w:pos="9062"/>
        </w:tabs>
        <w:rPr>
          <w:rFonts w:asciiTheme="minorHAnsi" w:eastAsiaTheme="minorEastAsia" w:hAnsiTheme="minorHAnsi" w:cstheme="minorBidi"/>
          <w:noProof/>
          <w:sz w:val="22"/>
          <w:szCs w:val="22"/>
        </w:rPr>
      </w:pPr>
      <w:hyperlink w:anchor="_Toc497893553" w:history="1">
        <w:r w:rsidRPr="00C2135E">
          <w:rPr>
            <w:rStyle w:val="Hyperkobling"/>
            <w:noProof/>
          </w:rPr>
          <w:t>5.</w:t>
        </w:r>
        <w:r>
          <w:rPr>
            <w:rFonts w:asciiTheme="minorHAnsi" w:eastAsiaTheme="minorEastAsia" w:hAnsiTheme="minorHAnsi" w:cstheme="minorBidi"/>
            <w:noProof/>
            <w:sz w:val="22"/>
            <w:szCs w:val="22"/>
          </w:rPr>
          <w:tab/>
        </w:r>
        <w:r w:rsidRPr="00C2135E">
          <w:rPr>
            <w:rStyle w:val="Hyperkobling"/>
            <w:noProof/>
          </w:rPr>
          <w:t>Bemanningsendring 2018-2021</w:t>
        </w:r>
        <w:r>
          <w:rPr>
            <w:noProof/>
            <w:webHidden/>
          </w:rPr>
          <w:tab/>
        </w:r>
        <w:r>
          <w:rPr>
            <w:noProof/>
            <w:webHidden/>
          </w:rPr>
          <w:fldChar w:fldCharType="begin"/>
        </w:r>
        <w:r>
          <w:rPr>
            <w:noProof/>
            <w:webHidden/>
          </w:rPr>
          <w:instrText xml:space="preserve"> PAGEREF _Toc497893553 \h </w:instrText>
        </w:r>
        <w:r>
          <w:rPr>
            <w:noProof/>
            <w:webHidden/>
          </w:rPr>
        </w:r>
        <w:r>
          <w:rPr>
            <w:noProof/>
            <w:webHidden/>
          </w:rPr>
          <w:fldChar w:fldCharType="separate"/>
        </w:r>
        <w:r>
          <w:rPr>
            <w:noProof/>
            <w:webHidden/>
          </w:rPr>
          <w:t>15</w:t>
        </w:r>
        <w:r>
          <w:rPr>
            <w:noProof/>
            <w:webHidden/>
          </w:rPr>
          <w:fldChar w:fldCharType="end"/>
        </w:r>
      </w:hyperlink>
    </w:p>
    <w:p w:rsidR="00E441E6" w:rsidRDefault="00E441E6">
      <w:pPr>
        <w:pStyle w:val="INNH1"/>
        <w:tabs>
          <w:tab w:val="left" w:pos="480"/>
          <w:tab w:val="right" w:leader="dot" w:pos="9062"/>
        </w:tabs>
        <w:rPr>
          <w:rFonts w:asciiTheme="minorHAnsi" w:eastAsiaTheme="minorEastAsia" w:hAnsiTheme="minorHAnsi" w:cstheme="minorBidi"/>
          <w:noProof/>
          <w:sz w:val="22"/>
          <w:szCs w:val="22"/>
        </w:rPr>
      </w:pPr>
      <w:hyperlink w:anchor="_Toc497893554" w:history="1">
        <w:r w:rsidRPr="00C2135E">
          <w:rPr>
            <w:rStyle w:val="Hyperkobling"/>
            <w:noProof/>
          </w:rPr>
          <w:t>6.</w:t>
        </w:r>
        <w:r>
          <w:rPr>
            <w:rFonts w:asciiTheme="minorHAnsi" w:eastAsiaTheme="minorEastAsia" w:hAnsiTheme="minorHAnsi" w:cstheme="minorBidi"/>
            <w:noProof/>
            <w:sz w:val="22"/>
            <w:szCs w:val="22"/>
          </w:rPr>
          <w:tab/>
        </w:r>
        <w:r w:rsidRPr="00C2135E">
          <w:rPr>
            <w:rStyle w:val="Hyperkobling"/>
            <w:noProof/>
          </w:rPr>
          <w:t>Økonomiske oversikter og nøkkeltall</w:t>
        </w:r>
        <w:r>
          <w:rPr>
            <w:noProof/>
            <w:webHidden/>
          </w:rPr>
          <w:tab/>
        </w:r>
        <w:r>
          <w:rPr>
            <w:noProof/>
            <w:webHidden/>
          </w:rPr>
          <w:fldChar w:fldCharType="begin"/>
        </w:r>
        <w:r>
          <w:rPr>
            <w:noProof/>
            <w:webHidden/>
          </w:rPr>
          <w:instrText xml:space="preserve"> PAGEREF _Toc497893554 \h </w:instrText>
        </w:r>
        <w:r>
          <w:rPr>
            <w:noProof/>
            <w:webHidden/>
          </w:rPr>
        </w:r>
        <w:r>
          <w:rPr>
            <w:noProof/>
            <w:webHidden/>
          </w:rPr>
          <w:fldChar w:fldCharType="separate"/>
        </w:r>
        <w:r>
          <w:rPr>
            <w:noProof/>
            <w:webHidden/>
          </w:rPr>
          <w:t>17</w:t>
        </w:r>
        <w:r>
          <w:rPr>
            <w:noProof/>
            <w:webHidden/>
          </w:rPr>
          <w:fldChar w:fldCharType="end"/>
        </w:r>
      </w:hyperlink>
    </w:p>
    <w:p w:rsidR="00E441E6" w:rsidRDefault="00E441E6">
      <w:pPr>
        <w:pStyle w:val="INNH2"/>
        <w:tabs>
          <w:tab w:val="right" w:leader="dot" w:pos="9062"/>
        </w:tabs>
        <w:rPr>
          <w:rFonts w:asciiTheme="minorHAnsi" w:eastAsiaTheme="minorEastAsia" w:hAnsiTheme="minorHAnsi" w:cstheme="minorBidi"/>
          <w:noProof/>
          <w:sz w:val="22"/>
          <w:szCs w:val="22"/>
        </w:rPr>
      </w:pPr>
      <w:hyperlink w:anchor="_Toc497893555" w:history="1">
        <w:r w:rsidRPr="00C2135E">
          <w:rPr>
            <w:rStyle w:val="Hyperkobling"/>
            <w:noProof/>
          </w:rPr>
          <w:t>6.1 Skjema 1 A – drift</w:t>
        </w:r>
        <w:r>
          <w:rPr>
            <w:noProof/>
            <w:webHidden/>
          </w:rPr>
          <w:tab/>
        </w:r>
        <w:r>
          <w:rPr>
            <w:noProof/>
            <w:webHidden/>
          </w:rPr>
          <w:fldChar w:fldCharType="begin"/>
        </w:r>
        <w:r>
          <w:rPr>
            <w:noProof/>
            <w:webHidden/>
          </w:rPr>
          <w:instrText xml:space="preserve"> PAGEREF _Toc497893555 \h </w:instrText>
        </w:r>
        <w:r>
          <w:rPr>
            <w:noProof/>
            <w:webHidden/>
          </w:rPr>
        </w:r>
        <w:r>
          <w:rPr>
            <w:noProof/>
            <w:webHidden/>
          </w:rPr>
          <w:fldChar w:fldCharType="separate"/>
        </w:r>
        <w:r>
          <w:rPr>
            <w:noProof/>
            <w:webHidden/>
          </w:rPr>
          <w:t>17</w:t>
        </w:r>
        <w:r>
          <w:rPr>
            <w:noProof/>
            <w:webHidden/>
          </w:rPr>
          <w:fldChar w:fldCharType="end"/>
        </w:r>
      </w:hyperlink>
    </w:p>
    <w:p w:rsidR="00E441E6" w:rsidRDefault="00E441E6">
      <w:pPr>
        <w:pStyle w:val="INNH2"/>
        <w:tabs>
          <w:tab w:val="right" w:leader="dot" w:pos="9062"/>
        </w:tabs>
        <w:rPr>
          <w:rFonts w:asciiTheme="minorHAnsi" w:eastAsiaTheme="minorEastAsia" w:hAnsiTheme="minorHAnsi" w:cstheme="minorBidi"/>
          <w:noProof/>
          <w:sz w:val="22"/>
          <w:szCs w:val="22"/>
        </w:rPr>
      </w:pPr>
      <w:hyperlink w:anchor="_Toc497893556" w:history="1">
        <w:r w:rsidRPr="00C2135E">
          <w:rPr>
            <w:rStyle w:val="Hyperkobling"/>
            <w:noProof/>
          </w:rPr>
          <w:t>6.2 Skjema 1 B - drift</w:t>
        </w:r>
        <w:r>
          <w:rPr>
            <w:noProof/>
            <w:webHidden/>
          </w:rPr>
          <w:tab/>
        </w:r>
        <w:r>
          <w:rPr>
            <w:noProof/>
            <w:webHidden/>
          </w:rPr>
          <w:fldChar w:fldCharType="begin"/>
        </w:r>
        <w:r>
          <w:rPr>
            <w:noProof/>
            <w:webHidden/>
          </w:rPr>
          <w:instrText xml:space="preserve"> PAGEREF _Toc497893556 \h </w:instrText>
        </w:r>
        <w:r>
          <w:rPr>
            <w:noProof/>
            <w:webHidden/>
          </w:rPr>
        </w:r>
        <w:r>
          <w:rPr>
            <w:noProof/>
            <w:webHidden/>
          </w:rPr>
          <w:fldChar w:fldCharType="separate"/>
        </w:r>
        <w:r>
          <w:rPr>
            <w:noProof/>
            <w:webHidden/>
          </w:rPr>
          <w:t>17</w:t>
        </w:r>
        <w:r>
          <w:rPr>
            <w:noProof/>
            <w:webHidden/>
          </w:rPr>
          <w:fldChar w:fldCharType="end"/>
        </w:r>
      </w:hyperlink>
    </w:p>
    <w:p w:rsidR="00E441E6" w:rsidRDefault="00E441E6">
      <w:pPr>
        <w:pStyle w:val="INNH2"/>
        <w:tabs>
          <w:tab w:val="right" w:leader="dot" w:pos="9062"/>
        </w:tabs>
        <w:rPr>
          <w:rFonts w:asciiTheme="minorHAnsi" w:eastAsiaTheme="minorEastAsia" w:hAnsiTheme="minorHAnsi" w:cstheme="minorBidi"/>
          <w:noProof/>
          <w:sz w:val="22"/>
          <w:szCs w:val="22"/>
        </w:rPr>
      </w:pPr>
      <w:hyperlink w:anchor="_Toc497893557" w:history="1">
        <w:r w:rsidRPr="00C2135E">
          <w:rPr>
            <w:rStyle w:val="Hyperkobling"/>
            <w:noProof/>
          </w:rPr>
          <w:t>6.3 Økonomisk oversikt – drift</w:t>
        </w:r>
        <w:r>
          <w:rPr>
            <w:noProof/>
            <w:webHidden/>
          </w:rPr>
          <w:tab/>
        </w:r>
        <w:r>
          <w:rPr>
            <w:noProof/>
            <w:webHidden/>
          </w:rPr>
          <w:fldChar w:fldCharType="begin"/>
        </w:r>
        <w:r>
          <w:rPr>
            <w:noProof/>
            <w:webHidden/>
          </w:rPr>
          <w:instrText xml:space="preserve"> PAGEREF _Toc497893557 \h </w:instrText>
        </w:r>
        <w:r>
          <w:rPr>
            <w:noProof/>
            <w:webHidden/>
          </w:rPr>
        </w:r>
        <w:r>
          <w:rPr>
            <w:noProof/>
            <w:webHidden/>
          </w:rPr>
          <w:fldChar w:fldCharType="separate"/>
        </w:r>
        <w:r>
          <w:rPr>
            <w:noProof/>
            <w:webHidden/>
          </w:rPr>
          <w:t>17</w:t>
        </w:r>
        <w:r>
          <w:rPr>
            <w:noProof/>
            <w:webHidden/>
          </w:rPr>
          <w:fldChar w:fldCharType="end"/>
        </w:r>
      </w:hyperlink>
    </w:p>
    <w:p w:rsidR="00E441E6" w:rsidRDefault="00E441E6">
      <w:pPr>
        <w:pStyle w:val="INNH2"/>
        <w:tabs>
          <w:tab w:val="right" w:leader="dot" w:pos="9062"/>
        </w:tabs>
        <w:rPr>
          <w:rFonts w:asciiTheme="minorHAnsi" w:eastAsiaTheme="minorEastAsia" w:hAnsiTheme="minorHAnsi" w:cstheme="minorBidi"/>
          <w:noProof/>
          <w:sz w:val="22"/>
          <w:szCs w:val="22"/>
        </w:rPr>
      </w:pPr>
      <w:hyperlink w:anchor="_Toc497893558" w:history="1">
        <w:r w:rsidRPr="00C2135E">
          <w:rPr>
            <w:rStyle w:val="Hyperkobling"/>
            <w:noProof/>
          </w:rPr>
          <w:t>6.4 Skjema 2 A – investering</w:t>
        </w:r>
        <w:r>
          <w:rPr>
            <w:noProof/>
            <w:webHidden/>
          </w:rPr>
          <w:tab/>
        </w:r>
        <w:r>
          <w:rPr>
            <w:noProof/>
            <w:webHidden/>
          </w:rPr>
          <w:fldChar w:fldCharType="begin"/>
        </w:r>
        <w:r>
          <w:rPr>
            <w:noProof/>
            <w:webHidden/>
          </w:rPr>
          <w:instrText xml:space="preserve"> PAGEREF _Toc497893558 \h </w:instrText>
        </w:r>
        <w:r>
          <w:rPr>
            <w:noProof/>
            <w:webHidden/>
          </w:rPr>
        </w:r>
        <w:r>
          <w:rPr>
            <w:noProof/>
            <w:webHidden/>
          </w:rPr>
          <w:fldChar w:fldCharType="separate"/>
        </w:r>
        <w:r>
          <w:rPr>
            <w:noProof/>
            <w:webHidden/>
          </w:rPr>
          <w:t>17</w:t>
        </w:r>
        <w:r>
          <w:rPr>
            <w:noProof/>
            <w:webHidden/>
          </w:rPr>
          <w:fldChar w:fldCharType="end"/>
        </w:r>
      </w:hyperlink>
    </w:p>
    <w:p w:rsidR="00E441E6" w:rsidRDefault="00E441E6">
      <w:pPr>
        <w:pStyle w:val="INNH2"/>
        <w:tabs>
          <w:tab w:val="right" w:leader="dot" w:pos="9062"/>
        </w:tabs>
        <w:rPr>
          <w:rFonts w:asciiTheme="minorHAnsi" w:eastAsiaTheme="minorEastAsia" w:hAnsiTheme="minorHAnsi" w:cstheme="minorBidi"/>
          <w:noProof/>
          <w:sz w:val="22"/>
          <w:szCs w:val="22"/>
        </w:rPr>
      </w:pPr>
      <w:hyperlink w:anchor="_Toc497893559" w:history="1">
        <w:r w:rsidRPr="00C2135E">
          <w:rPr>
            <w:rStyle w:val="Hyperkobling"/>
            <w:noProof/>
          </w:rPr>
          <w:t>6.5 Skjema 2 B – investering</w:t>
        </w:r>
        <w:r>
          <w:rPr>
            <w:noProof/>
            <w:webHidden/>
          </w:rPr>
          <w:tab/>
        </w:r>
        <w:r>
          <w:rPr>
            <w:noProof/>
            <w:webHidden/>
          </w:rPr>
          <w:fldChar w:fldCharType="begin"/>
        </w:r>
        <w:r>
          <w:rPr>
            <w:noProof/>
            <w:webHidden/>
          </w:rPr>
          <w:instrText xml:space="preserve"> PAGEREF _Toc497893559 \h </w:instrText>
        </w:r>
        <w:r>
          <w:rPr>
            <w:noProof/>
            <w:webHidden/>
          </w:rPr>
        </w:r>
        <w:r>
          <w:rPr>
            <w:noProof/>
            <w:webHidden/>
          </w:rPr>
          <w:fldChar w:fldCharType="separate"/>
        </w:r>
        <w:r>
          <w:rPr>
            <w:noProof/>
            <w:webHidden/>
          </w:rPr>
          <w:t>17</w:t>
        </w:r>
        <w:r>
          <w:rPr>
            <w:noProof/>
            <w:webHidden/>
          </w:rPr>
          <w:fldChar w:fldCharType="end"/>
        </w:r>
      </w:hyperlink>
    </w:p>
    <w:p w:rsidR="00E441E6" w:rsidRDefault="00E441E6">
      <w:pPr>
        <w:pStyle w:val="INNH2"/>
        <w:tabs>
          <w:tab w:val="right" w:leader="dot" w:pos="9062"/>
        </w:tabs>
        <w:rPr>
          <w:rFonts w:asciiTheme="minorHAnsi" w:eastAsiaTheme="minorEastAsia" w:hAnsiTheme="minorHAnsi" w:cstheme="minorBidi"/>
          <w:noProof/>
          <w:sz w:val="22"/>
          <w:szCs w:val="22"/>
        </w:rPr>
      </w:pPr>
      <w:hyperlink w:anchor="_Toc497893560" w:history="1">
        <w:r w:rsidRPr="00C2135E">
          <w:rPr>
            <w:rStyle w:val="Hyperkobling"/>
            <w:noProof/>
          </w:rPr>
          <w:t>6.6 Økonomisk oversikt investering</w:t>
        </w:r>
        <w:r>
          <w:rPr>
            <w:noProof/>
            <w:webHidden/>
          </w:rPr>
          <w:tab/>
        </w:r>
        <w:r>
          <w:rPr>
            <w:noProof/>
            <w:webHidden/>
          </w:rPr>
          <w:fldChar w:fldCharType="begin"/>
        </w:r>
        <w:r>
          <w:rPr>
            <w:noProof/>
            <w:webHidden/>
          </w:rPr>
          <w:instrText xml:space="preserve"> PAGEREF _Toc497893560 \h </w:instrText>
        </w:r>
        <w:r>
          <w:rPr>
            <w:noProof/>
            <w:webHidden/>
          </w:rPr>
        </w:r>
        <w:r>
          <w:rPr>
            <w:noProof/>
            <w:webHidden/>
          </w:rPr>
          <w:fldChar w:fldCharType="separate"/>
        </w:r>
        <w:r>
          <w:rPr>
            <w:noProof/>
            <w:webHidden/>
          </w:rPr>
          <w:t>17</w:t>
        </w:r>
        <w:r>
          <w:rPr>
            <w:noProof/>
            <w:webHidden/>
          </w:rPr>
          <w:fldChar w:fldCharType="end"/>
        </w:r>
      </w:hyperlink>
    </w:p>
    <w:p w:rsidR="004C1BD0" w:rsidRPr="00D33FE8" w:rsidRDefault="00CE0887" w:rsidP="004C1BD0">
      <w:r>
        <w:rPr>
          <w:b/>
          <w:sz w:val="36"/>
          <w:szCs w:val="36"/>
        </w:rPr>
        <w:fldChar w:fldCharType="end"/>
      </w:r>
      <w:r w:rsidR="00387448">
        <w:rPr>
          <w:b/>
          <w:sz w:val="36"/>
          <w:szCs w:val="36"/>
        </w:rPr>
        <w:br w:type="page"/>
      </w:r>
    </w:p>
    <w:p w:rsidR="00D62A57" w:rsidRPr="00F1679F" w:rsidRDefault="00D62A57" w:rsidP="00D62A57">
      <w:pPr>
        <w:pStyle w:val="Overskrift1"/>
        <w:numPr>
          <w:ilvl w:val="0"/>
          <w:numId w:val="1"/>
        </w:numPr>
      </w:pPr>
      <w:bookmarkStart w:id="0" w:name="_Toc466891096"/>
      <w:bookmarkStart w:id="1" w:name="OLE_LINK6"/>
      <w:bookmarkStart w:id="2" w:name="OLE_LINK7"/>
      <w:bookmarkStart w:id="3" w:name="_Toc497893541"/>
      <w:r>
        <w:lastRenderedPageBreak/>
        <w:t>Innledning/sammendrag</w:t>
      </w:r>
      <w:bookmarkEnd w:id="0"/>
      <w:bookmarkEnd w:id="3"/>
    </w:p>
    <w:p w:rsidR="00D62A57" w:rsidRPr="00302013" w:rsidRDefault="00D62A57" w:rsidP="00D62A57">
      <w:pPr>
        <w:rPr>
          <w:color w:val="FF0000"/>
        </w:rPr>
      </w:pPr>
    </w:p>
    <w:p w:rsidR="00D62A57" w:rsidRDefault="00D62A57" w:rsidP="00D62A57">
      <w:r>
        <w:t>De siste års erfaring med budsjettarbeid viser at det blir stadig mer utfordrende å finne balansen mellom inntekter og utgifter.</w:t>
      </w:r>
      <w:r w:rsidRPr="00851FCE">
        <w:t xml:space="preserve"> </w:t>
      </w:r>
      <w:r>
        <w:t xml:space="preserve">Årets statsbudsjett ga ingen store overraskelser. Mens Skjervøy i fjor fikk ei rammeoverføring på -2,9%, var årets ramme på 2 %, </w:t>
      </w:r>
      <w:proofErr w:type="spellStart"/>
      <w:r>
        <w:t>dvs</w:t>
      </w:r>
      <w:proofErr w:type="spellEnd"/>
      <w:r>
        <w:t xml:space="preserve"> ei underdekning på 0,6 % i forhold til en kommunal </w:t>
      </w:r>
      <w:proofErr w:type="spellStart"/>
      <w:r>
        <w:t>deflator</w:t>
      </w:r>
      <w:proofErr w:type="spellEnd"/>
      <w:r>
        <w:t xml:space="preserve"> på 2,6 %. </w:t>
      </w:r>
    </w:p>
    <w:p w:rsidR="00D62A57" w:rsidRDefault="00D62A57" w:rsidP="00D62A57"/>
    <w:p w:rsidR="00D62A57" w:rsidRDefault="00D62A57" w:rsidP="00D62A57">
      <w:r>
        <w:t>Den viktigste forutsetninga for budsjettforslaget er årets rammeoverføring, som ser slik ut:</w:t>
      </w:r>
    </w:p>
    <w:p w:rsidR="00D62A57" w:rsidRDefault="00D62A57" w:rsidP="00D62A57">
      <w:r w:rsidRPr="00D51287">
        <w:rPr>
          <w:noProof/>
        </w:rPr>
        <w:drawing>
          <wp:inline distT="0" distB="0" distL="0" distR="0" wp14:anchorId="0C47AAB6" wp14:editId="346CB79F">
            <wp:extent cx="5760720" cy="4505325"/>
            <wp:effectExtent l="0" t="0" r="0" b="9525"/>
            <wp:docPr id="4" name="Bilde 3"/>
            <wp:cNvGraphicFramePr/>
            <a:graphic xmlns:a="http://schemas.openxmlformats.org/drawingml/2006/main">
              <a:graphicData uri="http://schemas.openxmlformats.org/drawingml/2006/picture">
                <pic:pic xmlns:pic="http://schemas.openxmlformats.org/drawingml/2006/picture">
                  <pic:nvPicPr>
                    <pic:cNvPr id="4" name="Bilde 3"/>
                    <pic:cNvPicPr/>
                  </pic:nvPicPr>
                  <pic:blipFill rotWithShape="1">
                    <a:blip r:embed="rId10">
                      <a:extLst>
                        <a:ext uri="{28A0092B-C50C-407E-A947-70E740481C1C}">
                          <a14:useLocalDpi xmlns:a14="http://schemas.microsoft.com/office/drawing/2010/main" val="0"/>
                        </a:ext>
                      </a:extLst>
                    </a:blip>
                    <a:srcRect l="23148" t="19705" r="21792"/>
                    <a:stretch/>
                  </pic:blipFill>
                  <pic:spPr bwMode="auto">
                    <a:xfrm>
                      <a:off x="0" y="0"/>
                      <a:ext cx="5760720" cy="4505325"/>
                    </a:xfrm>
                    <a:prstGeom prst="rect">
                      <a:avLst/>
                    </a:prstGeom>
                    <a:ln>
                      <a:noFill/>
                    </a:ln>
                    <a:extLst>
                      <a:ext uri="{53640926-AAD7-44D8-BBD7-CCE9431645EC}">
                        <a14:shadowObscured xmlns:a14="http://schemas.microsoft.com/office/drawing/2010/main"/>
                      </a:ext>
                    </a:extLst>
                  </pic:spPr>
                </pic:pic>
              </a:graphicData>
            </a:graphic>
          </wp:inline>
        </w:drawing>
      </w:r>
    </w:p>
    <w:p w:rsidR="00D62A57" w:rsidRDefault="00D62A57" w:rsidP="00D62A57">
      <w:r>
        <w:t xml:space="preserve">Kilde: </w:t>
      </w:r>
      <w:hyperlink r:id="rId11" w:history="1">
        <w:r w:rsidRPr="006F613F">
          <w:rPr>
            <w:rStyle w:val="Hyperkobling"/>
          </w:rPr>
          <w:t>www.kommunedata.no</w:t>
        </w:r>
      </w:hyperlink>
    </w:p>
    <w:p w:rsidR="00D62A57" w:rsidRDefault="00D62A57" w:rsidP="00D62A57"/>
    <w:p w:rsidR="00D62A57" w:rsidRDefault="00D62A57" w:rsidP="00D62A57">
      <w:r>
        <w:t xml:space="preserve">Som det går fram av oversikten, er dette et </w:t>
      </w:r>
      <w:r w:rsidRPr="00CA33F2">
        <w:rPr>
          <w:u w:val="single"/>
        </w:rPr>
        <w:t>anslag</w:t>
      </w:r>
      <w:r>
        <w:t xml:space="preserve"> over frie inntekter. Skatteinntekter og rammetilskudd sees i forhold til hverandre, slik at svikt i skatteinntekter kompenseres til en viss grad i ramma. Motsatt vil økte skatteinntekter gi reduksjon i rammetilskudd (forenkla forklart). Det er ikke bare kommunens skatteinngang som har betydning for utregninga, men hele nasjonens skatteinngang</w:t>
      </w:r>
    </w:p>
    <w:p w:rsidR="00D62A57" w:rsidRDefault="00D62A57" w:rsidP="00D62A57"/>
    <w:p w:rsidR="00D62A57" w:rsidRDefault="00D62A57" w:rsidP="00D62A57">
      <w:r>
        <w:t xml:space="preserve">De største inntektspostene i ramma: </w:t>
      </w:r>
    </w:p>
    <w:p w:rsidR="00D62A57" w:rsidRDefault="00D62A57" w:rsidP="00D62A57">
      <w:r>
        <w:t xml:space="preserve">Innbyggertilskudd </w:t>
      </w:r>
      <w:r>
        <w:tab/>
      </w:r>
      <w:r>
        <w:tab/>
      </w:r>
      <w:r>
        <w:tab/>
      </w:r>
      <w:r>
        <w:tab/>
      </w:r>
      <w:proofErr w:type="gramStart"/>
      <w:r>
        <w:t>kr  23</w:t>
      </w:r>
      <w:proofErr w:type="gramEnd"/>
      <w:r>
        <w:t> 726 pr innbygger.</w:t>
      </w:r>
    </w:p>
    <w:p w:rsidR="00D62A57" w:rsidRDefault="00D62A57" w:rsidP="00D62A57">
      <w:proofErr w:type="spellStart"/>
      <w:r>
        <w:t>Utgiftsutjevning</w:t>
      </w:r>
      <w:proofErr w:type="spellEnd"/>
      <w:r>
        <w:t xml:space="preserve"> (mer om dette senere)</w:t>
      </w:r>
      <w:r>
        <w:tab/>
        <w:t>kr    6 281 pr innbygger</w:t>
      </w:r>
    </w:p>
    <w:p w:rsidR="00D62A57" w:rsidRDefault="00D62A57" w:rsidP="00D62A57">
      <w:r>
        <w:t>Distriktstilskudd består av to faktorer:</w:t>
      </w:r>
    </w:p>
    <w:p w:rsidR="00D62A57" w:rsidRDefault="00D62A57" w:rsidP="00D62A57">
      <w:r>
        <w:t>Distriktstilskudd</w:t>
      </w:r>
      <w:r>
        <w:tab/>
      </w:r>
      <w:r>
        <w:tab/>
      </w:r>
      <w:r>
        <w:tab/>
      </w:r>
      <w:r>
        <w:tab/>
        <w:t>kr   3 864 pr innbygger</w:t>
      </w:r>
    </w:p>
    <w:p w:rsidR="00D62A57" w:rsidRDefault="00D62A57" w:rsidP="00D62A57">
      <w:r>
        <w:t>Småkommunetilskudd (&gt; 3200 innb.)</w:t>
      </w:r>
      <w:r>
        <w:tab/>
        <w:t>kr 12 005 000</w:t>
      </w:r>
    </w:p>
    <w:p w:rsidR="00D62A57" w:rsidRDefault="00D62A57" w:rsidP="00D62A57">
      <w:r>
        <w:lastRenderedPageBreak/>
        <w:t>Innbyggertallet i Skjervøy er rimelig stabilt, men kan variere litt fra år til år. Tar en utgangspunkt i en variasjon på +/- 20 personer, vil det anslagsvis gi slikt utfall (med årets satser):</w:t>
      </w:r>
      <w:r>
        <w:rPr>
          <w:rStyle w:val="Fotnotereferanse"/>
        </w:rPr>
        <w:footnoteReference w:id="1"/>
      </w:r>
    </w:p>
    <w:p w:rsidR="00D62A57" w:rsidRDefault="00D62A57" w:rsidP="00D62A57">
      <w:r>
        <w:t xml:space="preserve">Innbyggertilskudd: </w:t>
      </w:r>
      <w:r>
        <w:tab/>
        <w:t xml:space="preserve">20 </w:t>
      </w:r>
      <w:proofErr w:type="spellStart"/>
      <w:r>
        <w:t>X</w:t>
      </w:r>
      <w:proofErr w:type="spellEnd"/>
      <w:r>
        <w:t xml:space="preserve"> 23726</w:t>
      </w:r>
      <w:r>
        <w:tab/>
        <w:t>474 520</w:t>
      </w:r>
    </w:p>
    <w:p w:rsidR="00D62A57" w:rsidRDefault="00D62A57" w:rsidP="00D62A57">
      <w:proofErr w:type="spellStart"/>
      <w:r>
        <w:t>Utgiftsutjevning</w:t>
      </w:r>
      <w:proofErr w:type="spellEnd"/>
      <w:r>
        <w:t>:</w:t>
      </w:r>
      <w:r>
        <w:tab/>
        <w:t xml:space="preserve">20 </w:t>
      </w:r>
      <w:proofErr w:type="spellStart"/>
      <w:r>
        <w:t>X</w:t>
      </w:r>
      <w:proofErr w:type="spellEnd"/>
      <w:r>
        <w:t xml:space="preserve"> 6281</w:t>
      </w:r>
      <w:r>
        <w:tab/>
        <w:t>125 620</w:t>
      </w:r>
    </w:p>
    <w:p w:rsidR="00D62A57" w:rsidRDefault="00D62A57" w:rsidP="00D62A57">
      <w:r>
        <w:t>Distriktstilskudd:</w:t>
      </w:r>
      <w:r>
        <w:tab/>
        <w:t xml:space="preserve">20 </w:t>
      </w:r>
      <w:proofErr w:type="spellStart"/>
      <w:r>
        <w:t>X</w:t>
      </w:r>
      <w:proofErr w:type="spellEnd"/>
      <w:r>
        <w:t xml:space="preserve"> 3864</w:t>
      </w:r>
      <w:r>
        <w:tab/>
        <w:t xml:space="preserve"> 77 280</w:t>
      </w:r>
    </w:p>
    <w:p w:rsidR="00D62A57" w:rsidRDefault="00D62A57" w:rsidP="00D62A57">
      <w:pPr>
        <w:rPr>
          <w:b/>
        </w:rPr>
      </w:pPr>
      <w:r w:rsidRPr="004B3812">
        <w:rPr>
          <w:b/>
        </w:rPr>
        <w:t>Totalt:</w:t>
      </w:r>
      <w:r w:rsidRPr="004B3812">
        <w:rPr>
          <w:b/>
        </w:rPr>
        <w:tab/>
      </w:r>
      <w:r w:rsidRPr="004B3812">
        <w:rPr>
          <w:b/>
        </w:rPr>
        <w:tab/>
      </w:r>
      <w:r w:rsidRPr="004B3812">
        <w:rPr>
          <w:b/>
        </w:rPr>
        <w:tab/>
      </w:r>
      <w:r w:rsidRPr="004B3812">
        <w:rPr>
          <w:b/>
        </w:rPr>
        <w:tab/>
      </w:r>
      <w:r w:rsidRPr="004B3812">
        <w:rPr>
          <w:b/>
        </w:rPr>
        <w:tab/>
        <w:t>677</w:t>
      </w:r>
      <w:r>
        <w:rPr>
          <w:b/>
        </w:rPr>
        <w:t> </w:t>
      </w:r>
      <w:r w:rsidRPr="004B3812">
        <w:rPr>
          <w:b/>
        </w:rPr>
        <w:t>420</w:t>
      </w:r>
    </w:p>
    <w:p w:rsidR="00D62A57" w:rsidRPr="004B3812" w:rsidRDefault="00D62A57" w:rsidP="00D62A57">
      <w:pPr>
        <w:rPr>
          <w:b/>
        </w:rPr>
      </w:pPr>
    </w:p>
    <w:p w:rsidR="00D62A57" w:rsidRDefault="00D62A57" w:rsidP="00D62A57">
      <w:r>
        <w:t xml:space="preserve">Svingninger i innbyggertall har altså en viss betydning for rammeoverføringene. Det som også er viktig er den såkalte behovsindeksen. Behovsindeksen for kommunene er en matematisk størrelse som skal si noe om hvor dyrt/billig en kommune kan drifte tjenestene i forhold til landsgjennomsnittet. Et viktig poeng er at årsakene til driftsnivået ligger utenfor det en kan påvirke, for eksempel geografi og demografi. En kommune med spredt bosetting, har </w:t>
      </w:r>
      <w:proofErr w:type="spellStart"/>
      <w:r>
        <w:t>høgere</w:t>
      </w:r>
      <w:proofErr w:type="spellEnd"/>
      <w:r>
        <w:t xml:space="preserve"> driftsutgifter enn en kommune der det er korte avstander. På samme måte vil en kommune med relativt mange ressurskrevende brukere måtte bruke større andel av budsjettet til dette formålet enn en kommune med få ressurskrevende brukere. Hensikten med systemet er at kommunene skal gis mulighet til å tilby likeverdige tjenester.</w:t>
      </w:r>
    </w:p>
    <w:p w:rsidR="00D62A57" w:rsidRDefault="00D62A57" w:rsidP="00D62A57"/>
    <w:p w:rsidR="00D62A57" w:rsidRDefault="00D62A57" w:rsidP="00D62A57">
      <w:r>
        <w:t>Her er alle kriteriene og utregninga for Skjervøy kommune:</w:t>
      </w:r>
    </w:p>
    <w:p w:rsidR="00D62A57" w:rsidRDefault="00D62A57" w:rsidP="00D62A57">
      <w:r w:rsidRPr="00FF6660">
        <w:rPr>
          <w:noProof/>
        </w:rPr>
        <w:drawing>
          <wp:inline distT="0" distB="0" distL="0" distR="0" wp14:anchorId="49CD2EBF" wp14:editId="5F872303">
            <wp:extent cx="4343400" cy="4751548"/>
            <wp:effectExtent l="0" t="0" r="0" b="0"/>
            <wp:docPr id="7" name="Bilde 6"/>
            <wp:cNvGraphicFramePr/>
            <a:graphic xmlns:a="http://schemas.openxmlformats.org/drawingml/2006/main">
              <a:graphicData uri="http://schemas.openxmlformats.org/drawingml/2006/picture">
                <pic:pic xmlns:pic="http://schemas.openxmlformats.org/drawingml/2006/picture">
                  <pic:nvPicPr>
                    <pic:cNvPr id="7" name="Bilde 6"/>
                    <pic:cNvPicPr/>
                  </pic:nvPicPr>
                  <pic:blipFill rotWithShape="1">
                    <a:blip r:embed="rId12">
                      <a:extLst>
                        <a:ext uri="{28A0092B-C50C-407E-A947-70E740481C1C}">
                          <a14:useLocalDpi xmlns:a14="http://schemas.microsoft.com/office/drawing/2010/main" val="0"/>
                        </a:ext>
                      </a:extLst>
                    </a:blip>
                    <a:srcRect l="40841" t="10307" r="24933" b="8448"/>
                    <a:stretch/>
                  </pic:blipFill>
                  <pic:spPr bwMode="auto">
                    <a:xfrm>
                      <a:off x="0" y="0"/>
                      <a:ext cx="4353605" cy="4762712"/>
                    </a:xfrm>
                    <a:prstGeom prst="rect">
                      <a:avLst/>
                    </a:prstGeom>
                    <a:ln>
                      <a:noFill/>
                    </a:ln>
                    <a:extLst>
                      <a:ext uri="{53640926-AAD7-44D8-BBD7-CCE9431645EC}">
                        <a14:shadowObscured xmlns:a14="http://schemas.microsoft.com/office/drawing/2010/main"/>
                      </a:ext>
                    </a:extLst>
                  </pic:spPr>
                </pic:pic>
              </a:graphicData>
            </a:graphic>
          </wp:inline>
        </w:drawing>
      </w:r>
    </w:p>
    <w:p w:rsidR="00D62A57" w:rsidRDefault="00D62A57" w:rsidP="00D62A57">
      <w:r>
        <w:t xml:space="preserve">Kilde: </w:t>
      </w:r>
      <w:hyperlink r:id="rId13" w:history="1">
        <w:r w:rsidRPr="006F613F">
          <w:rPr>
            <w:rStyle w:val="Hyperkobling"/>
          </w:rPr>
          <w:t>www.kommunedata.no</w:t>
        </w:r>
      </w:hyperlink>
    </w:p>
    <w:p w:rsidR="00D62A57" w:rsidRDefault="00D62A57" w:rsidP="00D62A57"/>
    <w:p w:rsidR="00D62A57" w:rsidRDefault="00D62A57" w:rsidP="00D62A57">
      <w:r>
        <w:t xml:space="preserve">Alle tall i rødt indikerer at vi drifter billigere enn landsgjennomsnittet, mens alle kriterier i grønt viser at vi har </w:t>
      </w:r>
      <w:proofErr w:type="spellStart"/>
      <w:r>
        <w:t>høgere</w:t>
      </w:r>
      <w:proofErr w:type="spellEnd"/>
      <w:r>
        <w:t xml:space="preserve"> driftsutgifter enn landsgjennomsnittet. Enkeltkriteriet som har størst økonomisk betydning er «gradert basiskriterium». Dette kriteriet kom inn i forbindelse med kommunereformen, og skal si noe om en kommune er frivillig eller ufrivillig liten. Det er avstand for å nå 5000 innbyggere som er målestokken. Om avstanden er over 25,4 km, slik som for Skjervøy, får en fullt ut kompensert for smådriftsulemper.</w:t>
      </w:r>
    </w:p>
    <w:p w:rsidR="00D62A57" w:rsidRDefault="00D62A57" w:rsidP="00D62A57"/>
    <w:p w:rsidR="00D62A57" w:rsidRDefault="00D62A57" w:rsidP="00D62A57">
      <w:r>
        <w:t xml:space="preserve">Den samla behovsindeksen for Skjervøy er 1,1252, mens landsgjennomsnittet er 1,0. Å drifte en kommune etter landsgjennomsnittet koster </w:t>
      </w:r>
      <w:proofErr w:type="spellStart"/>
      <w:r>
        <w:t>ca</w:t>
      </w:r>
      <w:proofErr w:type="spellEnd"/>
      <w:r>
        <w:t xml:space="preserve"> 50 000 pr innbygger. Hos oss: 50 000 </w:t>
      </w:r>
      <w:proofErr w:type="spellStart"/>
      <w:r>
        <w:t>X</w:t>
      </w:r>
      <w:proofErr w:type="spellEnd"/>
      <w:r>
        <w:t xml:space="preserve"> 1,1252= </w:t>
      </w:r>
      <w:proofErr w:type="spellStart"/>
      <w:r>
        <w:t>ca</w:t>
      </w:r>
      <w:proofErr w:type="spellEnd"/>
      <w:r>
        <w:t xml:space="preserve"> 56 000. Når en multipliserer dette med antallet innbyggere, utgjør denne posten vel 18 millioner (i tabell under «</w:t>
      </w:r>
      <w:proofErr w:type="spellStart"/>
      <w:r>
        <w:t>utgiftsutjevning</w:t>
      </w:r>
      <w:proofErr w:type="spellEnd"/>
      <w:r>
        <w:t xml:space="preserve">»). </w:t>
      </w:r>
    </w:p>
    <w:p w:rsidR="00D62A57" w:rsidRDefault="00D62A57" w:rsidP="00D62A57"/>
    <w:p w:rsidR="00D62A57" w:rsidRDefault="00D62A57" w:rsidP="00D62A57">
      <w:r>
        <w:t xml:space="preserve">Sammenligner en behovsindeksen i Skjervøy med våre nabokommuners, ser en at Skjervøy har den desidert laveste indeksen: </w:t>
      </w:r>
    </w:p>
    <w:tbl>
      <w:tblPr>
        <w:tblStyle w:val="Rutenettabell1lys-uthevingsfarge5"/>
        <w:tblW w:w="0" w:type="auto"/>
        <w:tblLook w:val="04A0" w:firstRow="1" w:lastRow="0" w:firstColumn="1" w:lastColumn="0" w:noHBand="0" w:noVBand="1"/>
      </w:tblPr>
      <w:tblGrid>
        <w:gridCol w:w="3020"/>
        <w:gridCol w:w="3021"/>
        <w:gridCol w:w="3021"/>
      </w:tblGrid>
      <w:tr w:rsidR="00D62A57" w:rsidTr="00D62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D62A57" w:rsidRDefault="00D62A57" w:rsidP="00D62A57">
            <w:r>
              <w:t>Kommune</w:t>
            </w:r>
          </w:p>
        </w:tc>
        <w:tc>
          <w:tcPr>
            <w:tcW w:w="3021" w:type="dxa"/>
          </w:tcPr>
          <w:p w:rsidR="00D62A57" w:rsidRDefault="00D62A57" w:rsidP="00D62A57">
            <w:pPr>
              <w:cnfStyle w:val="100000000000" w:firstRow="1" w:lastRow="0" w:firstColumn="0" w:lastColumn="0" w:oddVBand="0" w:evenVBand="0" w:oddHBand="0" w:evenHBand="0" w:firstRowFirstColumn="0" w:firstRowLastColumn="0" w:lastRowFirstColumn="0" w:lastRowLastColumn="0"/>
            </w:pPr>
            <w:r>
              <w:t>Behovsindeks (total)</w:t>
            </w:r>
          </w:p>
        </w:tc>
        <w:tc>
          <w:tcPr>
            <w:tcW w:w="3021" w:type="dxa"/>
          </w:tcPr>
          <w:p w:rsidR="00D62A57" w:rsidRDefault="00D62A57" w:rsidP="00D62A57">
            <w:pPr>
              <w:cnfStyle w:val="100000000000" w:firstRow="1" w:lastRow="0" w:firstColumn="0" w:lastColumn="0" w:oddVBand="0" w:evenVBand="0" w:oddHBand="0" w:evenHBand="0" w:firstRowFirstColumn="0" w:firstRowLastColumn="0" w:lastRowFirstColumn="0" w:lastRowLastColumn="0"/>
            </w:pPr>
            <w:proofErr w:type="spellStart"/>
            <w:r>
              <w:t>Utgiftsutjevning</w:t>
            </w:r>
            <w:proofErr w:type="spellEnd"/>
          </w:p>
        </w:tc>
      </w:tr>
      <w:tr w:rsidR="00D62A57" w:rsidTr="00D62A57">
        <w:tc>
          <w:tcPr>
            <w:cnfStyle w:val="001000000000" w:firstRow="0" w:lastRow="0" w:firstColumn="1" w:lastColumn="0" w:oddVBand="0" w:evenVBand="0" w:oddHBand="0" w:evenHBand="0" w:firstRowFirstColumn="0" w:firstRowLastColumn="0" w:lastRowFirstColumn="0" w:lastRowLastColumn="0"/>
            <w:tcW w:w="3020" w:type="dxa"/>
          </w:tcPr>
          <w:p w:rsidR="00D62A57" w:rsidRDefault="00D62A57" w:rsidP="00D62A57">
            <w:r>
              <w:t>Kvænangen</w:t>
            </w:r>
          </w:p>
        </w:tc>
        <w:tc>
          <w:tcPr>
            <w:tcW w:w="3021" w:type="dxa"/>
          </w:tcPr>
          <w:p w:rsidR="00D62A57" w:rsidRDefault="00D62A57" w:rsidP="00D62A57">
            <w:pPr>
              <w:cnfStyle w:val="000000000000" w:firstRow="0" w:lastRow="0" w:firstColumn="0" w:lastColumn="0" w:oddVBand="0" w:evenVBand="0" w:oddHBand="0" w:evenHBand="0" w:firstRowFirstColumn="0" w:firstRowLastColumn="0" w:lastRowFirstColumn="0" w:lastRowLastColumn="0"/>
            </w:pPr>
            <w:r>
              <w:t>1,4324</w:t>
            </w:r>
          </w:p>
        </w:tc>
        <w:tc>
          <w:tcPr>
            <w:tcW w:w="3021" w:type="dxa"/>
          </w:tcPr>
          <w:p w:rsidR="00D62A57" w:rsidRDefault="00D62A57" w:rsidP="00D62A57">
            <w:pPr>
              <w:cnfStyle w:val="000000000000" w:firstRow="0" w:lastRow="0" w:firstColumn="0" w:lastColumn="0" w:oddVBand="0" w:evenVBand="0" w:oddHBand="0" w:evenHBand="0" w:firstRowFirstColumn="0" w:firstRowLastColumn="0" w:lastRowFirstColumn="0" w:lastRowLastColumn="0"/>
            </w:pPr>
            <w:r>
              <w:t>26 809 000</w:t>
            </w:r>
          </w:p>
        </w:tc>
      </w:tr>
      <w:tr w:rsidR="00D62A57" w:rsidTr="00D62A57">
        <w:tc>
          <w:tcPr>
            <w:cnfStyle w:val="001000000000" w:firstRow="0" w:lastRow="0" w:firstColumn="1" w:lastColumn="0" w:oddVBand="0" w:evenVBand="0" w:oddHBand="0" w:evenHBand="0" w:firstRowFirstColumn="0" w:firstRowLastColumn="0" w:lastRowFirstColumn="0" w:lastRowLastColumn="0"/>
            <w:tcW w:w="3020" w:type="dxa"/>
          </w:tcPr>
          <w:p w:rsidR="00D62A57" w:rsidRDefault="00D62A57" w:rsidP="00D62A57">
            <w:r>
              <w:t>Nordreisa</w:t>
            </w:r>
          </w:p>
        </w:tc>
        <w:tc>
          <w:tcPr>
            <w:tcW w:w="3021" w:type="dxa"/>
          </w:tcPr>
          <w:p w:rsidR="00D62A57" w:rsidRDefault="00D62A57" w:rsidP="00D62A57">
            <w:pPr>
              <w:cnfStyle w:val="000000000000" w:firstRow="0" w:lastRow="0" w:firstColumn="0" w:lastColumn="0" w:oddVBand="0" w:evenVBand="0" w:oddHBand="0" w:evenHBand="0" w:firstRowFirstColumn="0" w:firstRowLastColumn="0" w:lastRowFirstColumn="0" w:lastRowLastColumn="0"/>
            </w:pPr>
            <w:r>
              <w:t>1,1334</w:t>
            </w:r>
          </w:p>
        </w:tc>
        <w:tc>
          <w:tcPr>
            <w:tcW w:w="3021" w:type="dxa"/>
          </w:tcPr>
          <w:p w:rsidR="00D62A57" w:rsidRDefault="00D62A57" w:rsidP="00D62A57">
            <w:pPr>
              <w:cnfStyle w:val="000000000000" w:firstRow="0" w:lastRow="0" w:firstColumn="0" w:lastColumn="0" w:oddVBand="0" w:evenVBand="0" w:oddHBand="0" w:evenHBand="0" w:firstRowFirstColumn="0" w:firstRowLastColumn="0" w:lastRowFirstColumn="0" w:lastRowLastColumn="0"/>
            </w:pPr>
            <w:r>
              <w:t>32 983 000</w:t>
            </w:r>
          </w:p>
        </w:tc>
      </w:tr>
      <w:tr w:rsidR="00D62A57" w:rsidTr="00D62A57">
        <w:tc>
          <w:tcPr>
            <w:cnfStyle w:val="001000000000" w:firstRow="0" w:lastRow="0" w:firstColumn="1" w:lastColumn="0" w:oddVBand="0" w:evenVBand="0" w:oddHBand="0" w:evenHBand="0" w:firstRowFirstColumn="0" w:firstRowLastColumn="0" w:lastRowFirstColumn="0" w:lastRowLastColumn="0"/>
            <w:tcW w:w="3020" w:type="dxa"/>
          </w:tcPr>
          <w:p w:rsidR="00D62A57" w:rsidRDefault="00D62A57" w:rsidP="00D62A57">
            <w:r>
              <w:t>Skjervøy</w:t>
            </w:r>
          </w:p>
        </w:tc>
        <w:tc>
          <w:tcPr>
            <w:tcW w:w="3021" w:type="dxa"/>
          </w:tcPr>
          <w:p w:rsidR="00D62A57" w:rsidRDefault="00D62A57" w:rsidP="00D62A57">
            <w:pPr>
              <w:cnfStyle w:val="000000000000" w:firstRow="0" w:lastRow="0" w:firstColumn="0" w:lastColumn="0" w:oddVBand="0" w:evenVBand="0" w:oddHBand="0" w:evenHBand="0" w:firstRowFirstColumn="0" w:firstRowLastColumn="0" w:lastRowFirstColumn="0" w:lastRowLastColumn="0"/>
            </w:pPr>
            <w:r>
              <w:t>1,1252</w:t>
            </w:r>
          </w:p>
        </w:tc>
        <w:tc>
          <w:tcPr>
            <w:tcW w:w="3021" w:type="dxa"/>
          </w:tcPr>
          <w:p w:rsidR="00D62A57" w:rsidRDefault="00D62A57" w:rsidP="00D62A57">
            <w:pPr>
              <w:cnfStyle w:val="000000000000" w:firstRow="0" w:lastRow="0" w:firstColumn="0" w:lastColumn="0" w:oddVBand="0" w:evenVBand="0" w:oddHBand="0" w:evenHBand="0" w:firstRowFirstColumn="0" w:firstRowLastColumn="0" w:lastRowFirstColumn="0" w:lastRowLastColumn="0"/>
            </w:pPr>
            <w:r>
              <w:t>18 153 000</w:t>
            </w:r>
          </w:p>
        </w:tc>
      </w:tr>
      <w:tr w:rsidR="00D62A57" w:rsidTr="00D62A57">
        <w:tc>
          <w:tcPr>
            <w:cnfStyle w:val="001000000000" w:firstRow="0" w:lastRow="0" w:firstColumn="1" w:lastColumn="0" w:oddVBand="0" w:evenVBand="0" w:oddHBand="0" w:evenHBand="0" w:firstRowFirstColumn="0" w:firstRowLastColumn="0" w:lastRowFirstColumn="0" w:lastRowLastColumn="0"/>
            <w:tcW w:w="3020" w:type="dxa"/>
          </w:tcPr>
          <w:p w:rsidR="00D62A57" w:rsidRDefault="00D62A57" w:rsidP="00D62A57">
            <w:r>
              <w:t>Kåfjord</w:t>
            </w:r>
          </w:p>
        </w:tc>
        <w:tc>
          <w:tcPr>
            <w:tcW w:w="3021" w:type="dxa"/>
          </w:tcPr>
          <w:p w:rsidR="00D62A57" w:rsidRDefault="00D62A57" w:rsidP="00D62A57">
            <w:pPr>
              <w:cnfStyle w:val="000000000000" w:firstRow="0" w:lastRow="0" w:firstColumn="0" w:lastColumn="0" w:oddVBand="0" w:evenVBand="0" w:oddHBand="0" w:evenHBand="0" w:firstRowFirstColumn="0" w:firstRowLastColumn="0" w:lastRowFirstColumn="0" w:lastRowLastColumn="0"/>
            </w:pPr>
            <w:r>
              <w:t>1,2139</w:t>
            </w:r>
          </w:p>
        </w:tc>
        <w:tc>
          <w:tcPr>
            <w:tcW w:w="3021" w:type="dxa"/>
          </w:tcPr>
          <w:p w:rsidR="00D62A57" w:rsidRDefault="00D62A57" w:rsidP="00D62A57">
            <w:pPr>
              <w:cnfStyle w:val="000000000000" w:firstRow="0" w:lastRow="0" w:firstColumn="0" w:lastColumn="0" w:oddVBand="0" w:evenVBand="0" w:oddHBand="0" w:evenHBand="0" w:firstRowFirstColumn="0" w:firstRowLastColumn="0" w:lastRowFirstColumn="0" w:lastRowLastColumn="0"/>
            </w:pPr>
            <w:r>
              <w:t>22 918 000</w:t>
            </w:r>
          </w:p>
        </w:tc>
      </w:tr>
      <w:tr w:rsidR="00D62A57" w:rsidTr="00D62A57">
        <w:tc>
          <w:tcPr>
            <w:cnfStyle w:val="001000000000" w:firstRow="0" w:lastRow="0" w:firstColumn="1" w:lastColumn="0" w:oddVBand="0" w:evenVBand="0" w:oddHBand="0" w:evenHBand="0" w:firstRowFirstColumn="0" w:firstRowLastColumn="0" w:lastRowFirstColumn="0" w:lastRowLastColumn="0"/>
            <w:tcW w:w="3020" w:type="dxa"/>
          </w:tcPr>
          <w:p w:rsidR="00D62A57" w:rsidRDefault="00D62A57" w:rsidP="00D62A57">
            <w:r>
              <w:t>Storfjord</w:t>
            </w:r>
          </w:p>
        </w:tc>
        <w:tc>
          <w:tcPr>
            <w:tcW w:w="3021" w:type="dxa"/>
          </w:tcPr>
          <w:p w:rsidR="00D62A57" w:rsidRDefault="00D62A57" w:rsidP="00D62A57">
            <w:pPr>
              <w:cnfStyle w:val="000000000000" w:firstRow="0" w:lastRow="0" w:firstColumn="0" w:lastColumn="0" w:oddVBand="0" w:evenVBand="0" w:oddHBand="0" w:evenHBand="0" w:firstRowFirstColumn="0" w:firstRowLastColumn="0" w:lastRowFirstColumn="0" w:lastRowLastColumn="0"/>
            </w:pPr>
            <w:r>
              <w:t>1,2557</w:t>
            </w:r>
          </w:p>
        </w:tc>
        <w:tc>
          <w:tcPr>
            <w:tcW w:w="3021" w:type="dxa"/>
          </w:tcPr>
          <w:p w:rsidR="00D62A57" w:rsidRDefault="00D62A57" w:rsidP="00D62A57">
            <w:pPr>
              <w:cnfStyle w:val="000000000000" w:firstRow="0" w:lastRow="0" w:firstColumn="0" w:lastColumn="0" w:oddVBand="0" w:evenVBand="0" w:oddHBand="0" w:evenHBand="0" w:firstRowFirstColumn="0" w:firstRowLastColumn="0" w:lastRowFirstColumn="0" w:lastRowLastColumn="0"/>
            </w:pPr>
            <w:r>
              <w:t>23 949 000</w:t>
            </w:r>
          </w:p>
        </w:tc>
      </w:tr>
      <w:tr w:rsidR="00D62A57" w:rsidTr="00D62A57">
        <w:tc>
          <w:tcPr>
            <w:cnfStyle w:val="001000000000" w:firstRow="0" w:lastRow="0" w:firstColumn="1" w:lastColumn="0" w:oddVBand="0" w:evenVBand="0" w:oddHBand="0" w:evenHBand="0" w:firstRowFirstColumn="0" w:firstRowLastColumn="0" w:lastRowFirstColumn="0" w:lastRowLastColumn="0"/>
            <w:tcW w:w="3020" w:type="dxa"/>
          </w:tcPr>
          <w:p w:rsidR="00D62A57" w:rsidRDefault="00D62A57" w:rsidP="00D62A57">
            <w:r>
              <w:t>Lyngen</w:t>
            </w:r>
          </w:p>
        </w:tc>
        <w:tc>
          <w:tcPr>
            <w:tcW w:w="3021" w:type="dxa"/>
          </w:tcPr>
          <w:p w:rsidR="00D62A57" w:rsidRDefault="00D62A57" w:rsidP="00D62A57">
            <w:pPr>
              <w:cnfStyle w:val="000000000000" w:firstRow="0" w:lastRow="0" w:firstColumn="0" w:lastColumn="0" w:oddVBand="0" w:evenVBand="0" w:oddHBand="0" w:evenHBand="0" w:firstRowFirstColumn="0" w:firstRowLastColumn="0" w:lastRowFirstColumn="0" w:lastRowLastColumn="0"/>
            </w:pPr>
            <w:r>
              <w:t>1,2820</w:t>
            </w:r>
          </w:p>
        </w:tc>
        <w:tc>
          <w:tcPr>
            <w:tcW w:w="3021" w:type="dxa"/>
          </w:tcPr>
          <w:p w:rsidR="00D62A57" w:rsidRDefault="00D62A57" w:rsidP="00D62A57">
            <w:pPr>
              <w:cnfStyle w:val="000000000000" w:firstRow="0" w:lastRow="0" w:firstColumn="0" w:lastColumn="0" w:oddVBand="0" w:evenVBand="0" w:oddHBand="0" w:evenHBand="0" w:firstRowFirstColumn="0" w:firstRowLastColumn="0" w:lastRowFirstColumn="0" w:lastRowLastColumn="0"/>
            </w:pPr>
            <w:r>
              <w:t>40 618 000</w:t>
            </w:r>
          </w:p>
        </w:tc>
      </w:tr>
    </w:tbl>
    <w:p w:rsidR="00D62A57" w:rsidRDefault="00D62A57" w:rsidP="00D62A57"/>
    <w:p w:rsidR="00D62A57" w:rsidRDefault="00D62A57" w:rsidP="00D62A57">
      <w:r>
        <w:t xml:space="preserve">Tabellen ovenfor viser at det forutsettes at Skjervøy kommune kan drifte mye mer effektivt enn nabokommunene våre, og hovedforklaringa ligger i en sentralisert struktur – flesteparten av innbyggerne i Skjervøy bor på tettstedet. Den store utfordringa framover blir derfor å realisere effektiviseringa godt nok. </w:t>
      </w:r>
    </w:p>
    <w:p w:rsidR="00D62A57" w:rsidRDefault="00D62A57" w:rsidP="00D62A57"/>
    <w:p w:rsidR="00D62A57" w:rsidRDefault="00D62A57" w:rsidP="00D62A57">
      <w:r>
        <w:t>I administrasjonens budsjett foreligger det ingen forslag om strukturelle endringer, men på sikt forventes det en økonomisk gevinst ved å omorganisere helse- og omsorgsetaten. Også endring av turnussystem kan gi en effekt, men begge deler er såpass usikre at det ikke er tallfesta i budsjettforslaget. Omorganisering og endra turnus har først og fremst som mål å få ned utgiftene til variabel lønn, slik at merforbruket i etaten går ned. Dette er to tiltak i anbefalinga fra Bedriftskompetanse, som har analysert drifta i kommunen (fra 2011 til 2016).</w:t>
      </w:r>
    </w:p>
    <w:p w:rsidR="00D62A57" w:rsidRDefault="00D62A57" w:rsidP="00D62A57"/>
    <w:p w:rsidR="00D62A57" w:rsidRDefault="00D62A57" w:rsidP="00D62A57">
      <w:r>
        <w:t xml:space="preserve">Selv om Skjervøy er en sentralisert kommune, har vi små driftsenheter innen barnehage, SFO og skole i Arnøyhamn og i Årviksand. Det er tidligere gjort politiske vedtak om at denne todelte strukturen skal opprettholdes, men med strammere økonomi og et marginalt barnetall vil ei vurdering av dette tilbudet måtte tas opp igjen. Administrasjonen har i forslaget valgt å følge tidligere politiske vedtak. </w:t>
      </w:r>
    </w:p>
    <w:p w:rsidR="00D62A57" w:rsidRDefault="00D62A57" w:rsidP="00D62A57"/>
    <w:p w:rsidR="00D62A57" w:rsidRDefault="00D62A57" w:rsidP="00D62A57">
      <w:r>
        <w:t>Kostnadene ved å drifte barnehage, SFO og barnehage i Arnøyhamn og Årviksand:</w:t>
      </w:r>
    </w:p>
    <w:tbl>
      <w:tblPr>
        <w:tblW w:w="9960" w:type="dxa"/>
        <w:tblCellMar>
          <w:left w:w="0" w:type="dxa"/>
          <w:right w:w="0" w:type="dxa"/>
        </w:tblCellMar>
        <w:tblLook w:val="0600" w:firstRow="0" w:lastRow="0" w:firstColumn="0" w:lastColumn="0" w:noHBand="1" w:noVBand="1"/>
      </w:tblPr>
      <w:tblGrid>
        <w:gridCol w:w="5726"/>
        <w:gridCol w:w="2217"/>
        <w:gridCol w:w="2017"/>
      </w:tblGrid>
      <w:tr w:rsidR="00D62A57" w:rsidRPr="003A47BB" w:rsidTr="00D62A57">
        <w:trPr>
          <w:trHeight w:val="480"/>
        </w:trPr>
        <w:tc>
          <w:tcPr>
            <w:tcW w:w="5726"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tc>
        <w:tc>
          <w:tcPr>
            <w:tcW w:w="221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r w:rsidRPr="003A47BB">
              <w:rPr>
                <w:b/>
                <w:bCs/>
              </w:rPr>
              <w:t>Arnøyhamn</w:t>
            </w:r>
          </w:p>
        </w:tc>
        <w:tc>
          <w:tcPr>
            <w:tcW w:w="201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r w:rsidRPr="003A47BB">
              <w:rPr>
                <w:b/>
                <w:bCs/>
              </w:rPr>
              <w:t>Årviksand</w:t>
            </w:r>
          </w:p>
        </w:tc>
      </w:tr>
      <w:tr w:rsidR="00D62A57" w:rsidRPr="003A47BB" w:rsidTr="00D62A57">
        <w:trPr>
          <w:trHeight w:val="480"/>
        </w:trPr>
        <w:tc>
          <w:tcPr>
            <w:tcW w:w="5726"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r w:rsidRPr="003A47BB">
              <w:rPr>
                <w:b/>
                <w:bCs/>
              </w:rPr>
              <w:t>Drift, teknisk (forsikring, strøm mfl)</w:t>
            </w:r>
          </w:p>
        </w:tc>
        <w:tc>
          <w:tcPr>
            <w:tcW w:w="221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r w:rsidRPr="003A47BB">
              <w:rPr>
                <w:b/>
                <w:bCs/>
              </w:rPr>
              <w:t>985000</w:t>
            </w:r>
          </w:p>
        </w:tc>
        <w:tc>
          <w:tcPr>
            <w:tcW w:w="201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r w:rsidRPr="003A47BB">
              <w:rPr>
                <w:b/>
                <w:bCs/>
              </w:rPr>
              <w:t>50000</w:t>
            </w:r>
          </w:p>
        </w:tc>
      </w:tr>
      <w:tr w:rsidR="00D62A57" w:rsidRPr="003A47BB" w:rsidTr="00D62A57">
        <w:trPr>
          <w:trHeight w:val="480"/>
        </w:trPr>
        <w:tc>
          <w:tcPr>
            <w:tcW w:w="5726"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r w:rsidRPr="003A47BB">
              <w:rPr>
                <w:b/>
                <w:bCs/>
              </w:rPr>
              <w:t>Inntektstap, ramme</w:t>
            </w:r>
          </w:p>
        </w:tc>
        <w:tc>
          <w:tcPr>
            <w:tcW w:w="221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tc>
        <w:tc>
          <w:tcPr>
            <w:tcW w:w="201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Default="00D62A57" w:rsidP="00D62A57">
            <w:pPr>
              <w:rPr>
                <w:b/>
                <w:bCs/>
              </w:rPr>
            </w:pPr>
            <w:r>
              <w:rPr>
                <w:b/>
                <w:bCs/>
              </w:rPr>
              <w:t>1629800*</w:t>
            </w:r>
          </w:p>
          <w:p w:rsidR="00D62A57" w:rsidRPr="003A47BB" w:rsidRDefault="00D62A57" w:rsidP="00D62A57"/>
        </w:tc>
      </w:tr>
      <w:tr w:rsidR="00D62A57" w:rsidRPr="003A47BB" w:rsidTr="00D62A57">
        <w:trPr>
          <w:trHeight w:val="480"/>
        </w:trPr>
        <w:tc>
          <w:tcPr>
            <w:tcW w:w="5726"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r w:rsidRPr="003A47BB">
              <w:rPr>
                <w:b/>
                <w:bCs/>
              </w:rPr>
              <w:t>Drift, skole (</w:t>
            </w:r>
            <w:proofErr w:type="spellStart"/>
            <w:r w:rsidRPr="003A47BB">
              <w:rPr>
                <w:b/>
                <w:bCs/>
              </w:rPr>
              <w:t>ekskl</w:t>
            </w:r>
            <w:proofErr w:type="spellEnd"/>
            <w:r w:rsidRPr="003A47BB">
              <w:rPr>
                <w:b/>
                <w:bCs/>
              </w:rPr>
              <w:t xml:space="preserve"> </w:t>
            </w:r>
            <w:proofErr w:type="spellStart"/>
            <w:r w:rsidRPr="003A47BB">
              <w:rPr>
                <w:b/>
                <w:bCs/>
              </w:rPr>
              <w:t>spes.ped</w:t>
            </w:r>
            <w:proofErr w:type="spellEnd"/>
            <w:r w:rsidRPr="003A47BB">
              <w:rPr>
                <w:b/>
                <w:bCs/>
              </w:rPr>
              <w:t>)</w:t>
            </w:r>
          </w:p>
        </w:tc>
        <w:tc>
          <w:tcPr>
            <w:tcW w:w="221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r w:rsidRPr="003A47BB">
              <w:rPr>
                <w:b/>
                <w:bCs/>
              </w:rPr>
              <w:t>1600000</w:t>
            </w:r>
          </w:p>
        </w:tc>
        <w:tc>
          <w:tcPr>
            <w:tcW w:w="201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tc>
      </w:tr>
      <w:tr w:rsidR="00D62A57" w:rsidRPr="003A47BB" w:rsidTr="00D62A57">
        <w:trPr>
          <w:trHeight w:val="480"/>
        </w:trPr>
        <w:tc>
          <w:tcPr>
            <w:tcW w:w="5726"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proofErr w:type="spellStart"/>
            <w:r w:rsidRPr="003A47BB">
              <w:rPr>
                <w:b/>
                <w:bCs/>
              </w:rPr>
              <w:lastRenderedPageBreak/>
              <w:t>Spes.ped</w:t>
            </w:r>
            <w:proofErr w:type="spellEnd"/>
          </w:p>
        </w:tc>
        <w:tc>
          <w:tcPr>
            <w:tcW w:w="221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tc>
        <w:tc>
          <w:tcPr>
            <w:tcW w:w="201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r w:rsidRPr="003A47BB">
              <w:rPr>
                <w:b/>
                <w:bCs/>
              </w:rPr>
              <w:t>500000</w:t>
            </w:r>
          </w:p>
        </w:tc>
      </w:tr>
      <w:tr w:rsidR="00D62A57" w:rsidRPr="003A47BB" w:rsidTr="00D62A57">
        <w:trPr>
          <w:trHeight w:val="480"/>
        </w:trPr>
        <w:tc>
          <w:tcPr>
            <w:tcW w:w="5726"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r w:rsidRPr="003A47BB">
              <w:rPr>
                <w:b/>
                <w:bCs/>
              </w:rPr>
              <w:t>Drift, barnehage</w:t>
            </w:r>
          </w:p>
        </w:tc>
        <w:tc>
          <w:tcPr>
            <w:tcW w:w="221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r w:rsidRPr="003A47BB">
              <w:rPr>
                <w:b/>
                <w:bCs/>
              </w:rPr>
              <w:t>500000</w:t>
            </w:r>
          </w:p>
        </w:tc>
        <w:tc>
          <w:tcPr>
            <w:tcW w:w="201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r w:rsidRPr="003A47BB">
              <w:rPr>
                <w:b/>
                <w:bCs/>
              </w:rPr>
              <w:t>950000</w:t>
            </w:r>
          </w:p>
        </w:tc>
      </w:tr>
      <w:tr w:rsidR="00D62A57" w:rsidRPr="003A47BB" w:rsidTr="00D62A57">
        <w:trPr>
          <w:trHeight w:val="480"/>
        </w:trPr>
        <w:tc>
          <w:tcPr>
            <w:tcW w:w="5726"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r w:rsidRPr="003A47BB">
              <w:rPr>
                <w:b/>
                <w:bCs/>
              </w:rPr>
              <w:t>Drift, teknisk (forsikring, strøm mfl)</w:t>
            </w:r>
          </w:p>
        </w:tc>
        <w:tc>
          <w:tcPr>
            <w:tcW w:w="221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tc>
        <w:tc>
          <w:tcPr>
            <w:tcW w:w="201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r w:rsidRPr="003A47BB">
              <w:rPr>
                <w:b/>
                <w:bCs/>
              </w:rPr>
              <w:t>156000</w:t>
            </w:r>
          </w:p>
        </w:tc>
      </w:tr>
      <w:tr w:rsidR="00D62A57" w:rsidRPr="003A47BB" w:rsidTr="00D62A57">
        <w:trPr>
          <w:trHeight w:val="480"/>
        </w:trPr>
        <w:tc>
          <w:tcPr>
            <w:tcW w:w="5726"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r w:rsidRPr="003A47BB">
              <w:rPr>
                <w:b/>
                <w:bCs/>
              </w:rPr>
              <w:t>Drift SFO</w:t>
            </w:r>
          </w:p>
        </w:tc>
        <w:tc>
          <w:tcPr>
            <w:tcW w:w="221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r w:rsidRPr="003A47BB">
              <w:rPr>
                <w:b/>
                <w:bCs/>
              </w:rPr>
              <w:t>282000</w:t>
            </w:r>
          </w:p>
        </w:tc>
        <w:tc>
          <w:tcPr>
            <w:tcW w:w="201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r w:rsidRPr="003A47BB">
              <w:rPr>
                <w:b/>
                <w:bCs/>
              </w:rPr>
              <w:t>110000</w:t>
            </w:r>
          </w:p>
        </w:tc>
      </w:tr>
      <w:tr w:rsidR="00D62A57" w:rsidRPr="003A47BB" w:rsidTr="00D62A57">
        <w:trPr>
          <w:trHeight w:val="480"/>
        </w:trPr>
        <w:tc>
          <w:tcPr>
            <w:tcW w:w="5726"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r w:rsidRPr="003A47BB">
              <w:rPr>
                <w:b/>
                <w:bCs/>
              </w:rPr>
              <w:t>Totalt drift</w:t>
            </w:r>
          </w:p>
        </w:tc>
        <w:tc>
          <w:tcPr>
            <w:tcW w:w="221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r w:rsidRPr="003A47BB">
              <w:rPr>
                <w:b/>
                <w:bCs/>
              </w:rPr>
              <w:t>3367000</w:t>
            </w:r>
          </w:p>
        </w:tc>
        <w:tc>
          <w:tcPr>
            <w:tcW w:w="2017" w:type="dxa"/>
            <w:tcBorders>
              <w:top w:val="single" w:sz="8" w:space="0" w:color="FFFFFF"/>
              <w:left w:val="single" w:sz="8" w:space="0" w:color="FFFFFF"/>
              <w:bottom w:val="single" w:sz="8" w:space="0" w:color="FFFFFF"/>
              <w:right w:val="single" w:sz="8" w:space="0" w:color="FFFFFF"/>
            </w:tcBorders>
            <w:shd w:val="clear" w:color="auto" w:fill="EEEEED"/>
            <w:tcMar>
              <w:top w:w="15" w:type="dxa"/>
              <w:left w:w="15" w:type="dxa"/>
              <w:bottom w:w="0" w:type="dxa"/>
              <w:right w:w="15" w:type="dxa"/>
            </w:tcMar>
            <w:vAlign w:val="bottom"/>
            <w:hideMark/>
          </w:tcPr>
          <w:p w:rsidR="00D62A57" w:rsidRPr="003A47BB" w:rsidRDefault="00D62A57" w:rsidP="00D62A57">
            <w:r>
              <w:rPr>
                <w:b/>
                <w:bCs/>
              </w:rPr>
              <w:t>3395800</w:t>
            </w:r>
          </w:p>
        </w:tc>
      </w:tr>
    </w:tbl>
    <w:p w:rsidR="00D62A57" w:rsidRDefault="00D62A57" w:rsidP="00D62A57">
      <w:pPr>
        <w:rPr>
          <w:sz w:val="22"/>
          <w:szCs w:val="22"/>
        </w:rPr>
      </w:pPr>
      <w:r w:rsidRPr="00012674">
        <w:rPr>
          <w:sz w:val="22"/>
          <w:szCs w:val="22"/>
        </w:rPr>
        <w:t>*Korreksjonsordning for elever i private skoler. Kommunen trekkes for kr 784 000 i ramma for grunnskoleutgifter en ikke har. Summen av trekk omfordeles til kommuner med få/uten elever i privatskoler, for Skjervøy utgjør dette kr 845800.</w:t>
      </w:r>
    </w:p>
    <w:p w:rsidR="00D62A57" w:rsidRDefault="00D62A57" w:rsidP="00D62A57">
      <w:pPr>
        <w:rPr>
          <w:sz w:val="22"/>
          <w:szCs w:val="22"/>
        </w:rPr>
      </w:pPr>
    </w:p>
    <w:p w:rsidR="00D62A57" w:rsidRDefault="00D62A57" w:rsidP="00D62A57">
      <w:r w:rsidRPr="002E7AD7">
        <w:t>Når det gjelder</w:t>
      </w:r>
      <w:r>
        <w:t xml:space="preserve"> andre mulige effektiviseringstiltak, forventes den nye, store barnehagen på Prestegårdsjorda å gi stordriftsfordeler i tillegg til besparelse innen teknisk drift ved at to midlertidige barnehager slås sammen i et nytt, moderne bygg. Barnehagedrift har derimot vist seg vanskelig å beregne for flere år framover, da barnetallet svinger mye. I 2016 lå antallet fødsler på </w:t>
      </w:r>
      <w:proofErr w:type="spellStart"/>
      <w:r>
        <w:t>ca</w:t>
      </w:r>
      <w:proofErr w:type="spellEnd"/>
      <w:r>
        <w:t xml:space="preserve"> 40, i 2017 forventes det å bli </w:t>
      </w:r>
      <w:proofErr w:type="spellStart"/>
      <w:r>
        <w:t>ca</w:t>
      </w:r>
      <w:proofErr w:type="spellEnd"/>
      <w:r>
        <w:t xml:space="preserve"> 20. Denne svingninga utgjør vel 2 avdelinger </w:t>
      </w:r>
      <w:r w:rsidRPr="00B65973">
        <w:t xml:space="preserve">med ei grunnbemanning på </w:t>
      </w:r>
      <w:proofErr w:type="spellStart"/>
      <w:r w:rsidRPr="00B65973">
        <w:t>ca</w:t>
      </w:r>
      <w:proofErr w:type="spellEnd"/>
      <w:r w:rsidRPr="00B65973">
        <w:t xml:space="preserve"> 7 stillinger. Hvor mange som benytter muligheten for</w:t>
      </w:r>
      <w:r>
        <w:t xml:space="preserve"> kontantstøtte er også varierende.  </w:t>
      </w:r>
    </w:p>
    <w:p w:rsidR="00D62A57" w:rsidRPr="002E7AD7" w:rsidRDefault="00D62A57" w:rsidP="00D62A57"/>
    <w:p w:rsidR="00D62A57" w:rsidRDefault="00D62A57" w:rsidP="00D62A57">
      <w:r>
        <w:t>For å komme i havn med årets budsjett er følgende strategier valgt:</w:t>
      </w:r>
    </w:p>
    <w:p w:rsidR="00D62A57" w:rsidRDefault="00D62A57" w:rsidP="00D62A57">
      <w:pPr>
        <w:pStyle w:val="Listeavsnitt"/>
        <w:numPr>
          <w:ilvl w:val="1"/>
          <w:numId w:val="1"/>
        </w:numPr>
      </w:pPr>
      <w:r>
        <w:t>De fleste behov som er meldt inn, er lagt inn som tiltak, men tatt ut igjen. Dette gjelder både behov for stillingsøking, investeringer og mindre driftsmessige tiltak.</w:t>
      </w:r>
    </w:p>
    <w:p w:rsidR="00D62A57" w:rsidRDefault="00D62A57" w:rsidP="00D62A57">
      <w:pPr>
        <w:pStyle w:val="Listeavsnitt"/>
        <w:numPr>
          <w:ilvl w:val="1"/>
          <w:numId w:val="1"/>
        </w:numPr>
      </w:pPr>
      <w:r>
        <w:t>Kutt i driftsbudsjettet på noen ansvarsområder innenfor sentraladministrasjonen og kultur og undervisning</w:t>
      </w:r>
    </w:p>
    <w:p w:rsidR="00D62A57" w:rsidRDefault="00D62A57" w:rsidP="00D62A57">
      <w:pPr>
        <w:pStyle w:val="Listeavsnitt"/>
        <w:numPr>
          <w:ilvl w:val="1"/>
          <w:numId w:val="1"/>
        </w:numPr>
      </w:pPr>
      <w:r>
        <w:t xml:space="preserve">Netto stillingsreduksjon i perioden på </w:t>
      </w:r>
      <w:proofErr w:type="spellStart"/>
      <w:r>
        <w:t>ca</w:t>
      </w:r>
      <w:proofErr w:type="spellEnd"/>
      <w:r>
        <w:t xml:space="preserve"> 6,5 stillinger (stillinger med permanent reduksjon)</w:t>
      </w:r>
    </w:p>
    <w:p w:rsidR="00D62A57" w:rsidRDefault="00D62A57" w:rsidP="00D62A57">
      <w:pPr>
        <w:pStyle w:val="Listeavsnitt"/>
        <w:numPr>
          <w:ilvl w:val="1"/>
          <w:numId w:val="1"/>
        </w:numPr>
      </w:pPr>
      <w:r>
        <w:t>Prisøkning på tjenester og økte egenandeler</w:t>
      </w:r>
    </w:p>
    <w:p w:rsidR="00D62A57" w:rsidRDefault="00D62A57" w:rsidP="00D62A57">
      <w:pPr>
        <w:pStyle w:val="Listeavsnitt"/>
        <w:ind w:left="720"/>
      </w:pPr>
    </w:p>
    <w:p w:rsidR="00D62A57" w:rsidRDefault="00D62A57" w:rsidP="00D62A57">
      <w:r>
        <w:t>Kutt i driftsbudsjettet er et tiltak som sitter «langt inne», da virksomhetenes driftsbudsjett ikke har væt justert for prisstigning på mange år. I tillegg opplever mange virksomheter at programvarelisenser tar en stadig større andel av driftsbudsjettet. På sikt er dette heller ikke en bærekraftig strategi. Det er bare reduksjon i antall stillinger som monner. Når budsjettet for 2019-22 utarbeides, vil det bli en tøffere jobb. Til da vil mulige effekter av omorganisering innen helse og omsorg avtegne seg – det samme gjelder arbeidet med å få ned sykefraværet og innarbeide retningslinjer for vikarbruk, slik at variabel lønn reduseres.</w:t>
      </w:r>
    </w:p>
    <w:p w:rsidR="00D62A57" w:rsidRDefault="00D62A57" w:rsidP="00D62A57"/>
    <w:p w:rsidR="00D62A57" w:rsidRDefault="00D62A57" w:rsidP="00D62A57">
      <w:r>
        <w:t xml:space="preserve">I forbindelse med kommunereformen ble det mye fokus på oppgaveforflytning – fra stat og/eller fylke til kommune. Bortsett fra kommunale vigsler, som det ikke er beregna merkostnader ved, er det ikke lagt inn økte kostnader til eventuelle nye oppgaver. Det ligger an til at kommunene får flere oppgaver innenfor landbruk, og utredninger </w:t>
      </w:r>
      <w:proofErr w:type="spellStart"/>
      <w:r>
        <w:t>ift</w:t>
      </w:r>
      <w:proofErr w:type="spellEnd"/>
      <w:r>
        <w:t xml:space="preserve"> motorferdsel i utmark (skuter)og på hav (vannskuter) vil kreve tidsressurser, men det er ikke funnet rom for dette i budsjettforslaget. Innenfor barnevern forventes endringer, </w:t>
      </w:r>
      <w:proofErr w:type="spellStart"/>
      <w:r>
        <w:t>bl</w:t>
      </w:r>
      <w:proofErr w:type="spellEnd"/>
      <w:r>
        <w:t xml:space="preserve"> a er det nå krav om barnevernsvakt. Det er tatt høyde for årlige kostnader til det på </w:t>
      </w:r>
      <w:proofErr w:type="spellStart"/>
      <w:r>
        <w:t>ca</w:t>
      </w:r>
      <w:proofErr w:type="spellEnd"/>
      <w:r>
        <w:t xml:space="preserve"> 250 000, men det forutsetter et interkommunalt samarbeid. </w:t>
      </w:r>
      <w:r w:rsidRPr="00E81905">
        <w:t xml:space="preserve">Om Skjervøy kommune skal ha </w:t>
      </w:r>
      <w:r>
        <w:t xml:space="preserve">egen vakt, vil kostnadene bli langt </w:t>
      </w:r>
      <w:proofErr w:type="spellStart"/>
      <w:r>
        <w:t>høgere</w:t>
      </w:r>
      <w:proofErr w:type="spellEnd"/>
      <w:r>
        <w:t>.</w:t>
      </w:r>
    </w:p>
    <w:p w:rsidR="00D62A57" w:rsidRDefault="00D62A57" w:rsidP="00D62A57">
      <w:r>
        <w:t xml:space="preserve"> </w:t>
      </w:r>
    </w:p>
    <w:p w:rsidR="00D62A57" w:rsidRDefault="00D62A57" w:rsidP="00D62A57">
      <w:r>
        <w:lastRenderedPageBreak/>
        <w:t xml:space="preserve">Når det gjelder investeringer, er bygging av barnehage på Prestegårdsjorda den største </w:t>
      </w:r>
      <w:r w:rsidRPr="00B65973">
        <w:t xml:space="preserve">enkeltposten med ei ramme på 32 mill. (4 </w:t>
      </w:r>
      <w:proofErr w:type="spellStart"/>
      <w:r w:rsidRPr="00B65973">
        <w:t>mill</w:t>
      </w:r>
      <w:proofErr w:type="spellEnd"/>
      <w:r w:rsidRPr="00B65973">
        <w:t xml:space="preserve"> er avsatt i 2017).  Det er planlagt byggestart i</w:t>
      </w:r>
      <w:r>
        <w:t xml:space="preserve"> januar 2018. Nøyaktig prislapp er ennå ikke klar, da anbudet nå ligger ute. </w:t>
      </w:r>
    </w:p>
    <w:p w:rsidR="00D62A57" w:rsidRDefault="00D62A57" w:rsidP="00D62A57"/>
    <w:p w:rsidR="00D62A57" w:rsidRDefault="00D62A57" w:rsidP="00D62A57">
      <w:r>
        <w:t xml:space="preserve">Det er også lagt inn flere tiltak som forutsetter tilskudd/investeringer utenfra: bygging av kai på </w:t>
      </w:r>
      <w:proofErr w:type="spellStart"/>
      <w:r>
        <w:t>Kollagerneset</w:t>
      </w:r>
      <w:proofErr w:type="spellEnd"/>
      <w:r>
        <w:t xml:space="preserve"> med kommunal andel på 6,15 </w:t>
      </w:r>
      <w:proofErr w:type="spellStart"/>
      <w:proofErr w:type="gramStart"/>
      <w:r>
        <w:t>mill</w:t>
      </w:r>
      <w:proofErr w:type="spellEnd"/>
      <w:r>
        <w:t>(</w:t>
      </w:r>
      <w:proofErr w:type="gramEnd"/>
      <w:r>
        <w:t xml:space="preserve">+tilskudd fra Troms Fylkeskommune), flytebrygge i indre havn på 2 </w:t>
      </w:r>
      <w:proofErr w:type="spellStart"/>
      <w:r>
        <w:t>mill</w:t>
      </w:r>
      <w:proofErr w:type="spellEnd"/>
      <w:r>
        <w:t xml:space="preserve"> (+ tilskudd fra Kystverket) og 2 </w:t>
      </w:r>
      <w:proofErr w:type="spellStart"/>
      <w:r>
        <w:t>mill</w:t>
      </w:r>
      <w:proofErr w:type="spellEnd"/>
      <w:r>
        <w:t xml:space="preserve"> til skredforebygging i Arnøyhamn (forutsatt at NVE dekker resten – 80%). Dette er investeringskostnader som det hefter en viss usikkerhet rundt. </w:t>
      </w:r>
    </w:p>
    <w:p w:rsidR="00D62A57" w:rsidRDefault="00D62A57" w:rsidP="00D62A57"/>
    <w:p w:rsidR="00D62A57" w:rsidRDefault="00D62A57" w:rsidP="00D62A57">
      <w:r>
        <w:t xml:space="preserve">Innenfor helse og omsorg ble det i fjor tatt ei beslutning </w:t>
      </w:r>
      <w:proofErr w:type="spellStart"/>
      <w:r>
        <w:t>mht</w:t>
      </w:r>
      <w:proofErr w:type="spellEnd"/>
      <w:r>
        <w:t xml:space="preserve"> å ikke bygge flere institusjonsplasser. Siden behovet for helsetjenester vil øke med ei aldrende befolkning, er det på investeringssida lagt inn en utvidelse av kjøkkenet med 8 mill. for å kunne øke kapasiteten. Tanken er at flere blir boende hjemme, men vil ha behov for å få levert mat. (Det er for øvrig også lagt inn midler på drift til velferdsteknologi på kr 250 000 hvert år – et tiltak som også skal bidra til å dempe behovet for institusjonsplasser.)</w:t>
      </w:r>
    </w:p>
    <w:p w:rsidR="00D62A57" w:rsidRDefault="00D62A57" w:rsidP="00D62A57"/>
    <w:p w:rsidR="00D62A57" w:rsidRDefault="00D62A57" w:rsidP="00D62A57">
      <w:r>
        <w:t xml:space="preserve">Teknisk etat står overfor et større renoveringsprosjekt innen vann- og avløpsnettet. I </w:t>
      </w:r>
      <w:r w:rsidRPr="00B65973">
        <w:t>kommende 4-års-periode skal det investeres for til sammen 32 mill. På grunn av alder og</w:t>
      </w:r>
      <w:r>
        <w:t xml:space="preserve"> klimaendringer er det på høy tid at rør skiftes ut, og at kapasiteten for å ta unna vann øker. Med VA-ingeniør på plass tas det sikte på oppstart våren 2018. Investeringskostnadene vil bli kompensert med </w:t>
      </w:r>
      <w:proofErr w:type="spellStart"/>
      <w:r>
        <w:t>høgere</w:t>
      </w:r>
      <w:proofErr w:type="spellEnd"/>
      <w:r>
        <w:t xml:space="preserve"> avgifter for innbyggerne. I tillegg må huseiere påregne kostnader for å skifte ut gamle ledninger som skal koples på det nyrenoverte kommunale anlegget.</w:t>
      </w:r>
    </w:p>
    <w:p w:rsidR="00D62A57" w:rsidRPr="00DB2A2D" w:rsidRDefault="00D62A57" w:rsidP="00D62A57">
      <w:pPr>
        <w:rPr>
          <w:highlight w:val="yellow"/>
        </w:rPr>
      </w:pPr>
      <w:r w:rsidRPr="00DB2A2D">
        <w:rPr>
          <w:highlight w:val="yellow"/>
        </w:rPr>
        <w:t xml:space="preserve"> </w:t>
      </w:r>
    </w:p>
    <w:p w:rsidR="00D62A57" w:rsidRPr="007E2232" w:rsidRDefault="00D62A57" w:rsidP="00D62A57">
      <w:r>
        <w:t>Slik det har vært nevnt i tidligere budsjett, er situasjonen fortsatt slik at det er få reserver</w:t>
      </w:r>
      <w:r w:rsidRPr="007E2232">
        <w:t xml:space="preserve">, </w:t>
      </w:r>
      <w:r>
        <w:t>og budsjettforslaget som nå foreligger, tærer på oppsparte midler (</w:t>
      </w:r>
      <w:proofErr w:type="spellStart"/>
      <w:r>
        <w:t>jfr</w:t>
      </w:r>
      <w:proofErr w:type="spellEnd"/>
      <w:r>
        <w:t xml:space="preserve"> tabell under). Én av de</w:t>
      </w:r>
      <w:r w:rsidRPr="007E2232">
        <w:t xml:space="preserve"> </w:t>
      </w:r>
      <w:r>
        <w:t>største utfordringene er å få rammene til helse og omsorgsetaten til å holde, slik at ikke allerede reduserte buffere forsvinner på et par år.  En generell stram b</w:t>
      </w:r>
      <w:r w:rsidRPr="007E2232">
        <w:t xml:space="preserve">udsjettdisiplin og et innarbeidet system for rapporteringer må videreføres. </w:t>
      </w:r>
    </w:p>
    <w:p w:rsidR="00D62A57" w:rsidRDefault="00D62A57" w:rsidP="00D62A57"/>
    <w:p w:rsidR="00D62A57" w:rsidRDefault="00D62A57" w:rsidP="00D62A57">
      <w:r>
        <w:t>Avslutningsvis presenteres noen tall, som til sammen</w:t>
      </w:r>
      <w:r w:rsidRPr="007E2232">
        <w:t xml:space="preserve"> gir et bilde av noen vesentlige sider ved økonomien i Skjervøy kommune om rådmannens forslag til budsjett- og økonomiplan vedtas:</w:t>
      </w:r>
    </w:p>
    <w:p w:rsidR="00D62A57" w:rsidRDefault="00D62A57" w:rsidP="00D62A57"/>
    <w:tbl>
      <w:tblPr>
        <w:tblW w:w="8784" w:type="dxa"/>
        <w:tblCellMar>
          <w:left w:w="0" w:type="dxa"/>
          <w:right w:w="0" w:type="dxa"/>
        </w:tblCellMar>
        <w:tblLook w:val="0600" w:firstRow="0" w:lastRow="0" w:firstColumn="0" w:lastColumn="0" w:noHBand="1" w:noVBand="1"/>
      </w:tblPr>
      <w:tblGrid>
        <w:gridCol w:w="1561"/>
        <w:gridCol w:w="1416"/>
        <w:gridCol w:w="1275"/>
        <w:gridCol w:w="1133"/>
        <w:gridCol w:w="1133"/>
        <w:gridCol w:w="1133"/>
        <w:gridCol w:w="1133"/>
      </w:tblGrid>
      <w:tr w:rsidR="00D62A57" w:rsidRPr="00755F88" w:rsidTr="00E441E6">
        <w:trPr>
          <w:trHeight w:val="35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2A57" w:rsidRPr="00755F88" w:rsidRDefault="00D62A57" w:rsidP="00D62A57">
            <w:pPr>
              <w:spacing w:after="160" w:line="259" w:lineRule="auto"/>
              <w:rPr>
                <w:b/>
              </w:rPr>
            </w:pPr>
            <w:r w:rsidRPr="00755F88">
              <w:rPr>
                <w:b/>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2A57" w:rsidRPr="00755F88" w:rsidRDefault="00D62A57" w:rsidP="00D62A57">
            <w:pPr>
              <w:spacing w:after="160" w:line="259" w:lineRule="auto"/>
              <w:rPr>
                <w:b/>
              </w:rPr>
            </w:pPr>
            <w:r w:rsidRPr="00755F88">
              <w:rPr>
                <w:b/>
                <w:bCs/>
              </w:rPr>
              <w:t>2016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2A57" w:rsidRPr="00755F88" w:rsidRDefault="00D62A57" w:rsidP="00D62A57">
            <w:pPr>
              <w:spacing w:after="160" w:line="259" w:lineRule="auto"/>
              <w:rPr>
                <w:b/>
              </w:rPr>
            </w:pPr>
            <w:r w:rsidRPr="00755F88">
              <w:rPr>
                <w:b/>
                <w:bCs/>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2A57" w:rsidRPr="00755F88" w:rsidRDefault="00D62A57" w:rsidP="00D62A57">
            <w:pPr>
              <w:spacing w:after="160" w:line="259" w:lineRule="auto"/>
              <w:rPr>
                <w:b/>
              </w:rPr>
            </w:pPr>
            <w:r w:rsidRPr="00755F88">
              <w:rPr>
                <w:b/>
                <w:bCs/>
              </w:rPr>
              <w:t>2018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2A57" w:rsidRPr="00755F88" w:rsidRDefault="00D62A57" w:rsidP="00D62A57">
            <w:pPr>
              <w:spacing w:after="160" w:line="259" w:lineRule="auto"/>
              <w:rPr>
                <w:b/>
              </w:rPr>
            </w:pPr>
            <w:r w:rsidRPr="00755F88">
              <w:rPr>
                <w:b/>
                <w:bCs/>
              </w:rPr>
              <w:t>2019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2A57" w:rsidRPr="00755F88" w:rsidRDefault="00D62A57" w:rsidP="00D62A57">
            <w:pPr>
              <w:spacing w:after="160" w:line="259" w:lineRule="auto"/>
              <w:rPr>
                <w:b/>
              </w:rPr>
            </w:pPr>
            <w:r w:rsidRPr="00755F88">
              <w:rPr>
                <w:b/>
                <w:bCs/>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2A57" w:rsidRPr="00755F88" w:rsidRDefault="00D62A57" w:rsidP="00D62A57">
            <w:pPr>
              <w:spacing w:after="160" w:line="259" w:lineRule="auto"/>
              <w:rPr>
                <w:b/>
              </w:rPr>
            </w:pPr>
            <w:r w:rsidRPr="00755F88">
              <w:rPr>
                <w:b/>
                <w:bCs/>
              </w:rPr>
              <w:t>2021</w:t>
            </w:r>
          </w:p>
        </w:tc>
      </w:tr>
      <w:tr w:rsidR="00D62A57" w:rsidRPr="00755F88" w:rsidTr="00E441E6">
        <w:trPr>
          <w:trHeight w:val="30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2A57" w:rsidRPr="00755F88" w:rsidRDefault="00D62A57" w:rsidP="00D62A57">
            <w:pPr>
              <w:spacing w:line="259" w:lineRule="auto"/>
              <w:rPr>
                <w:b/>
                <w:sz w:val="20"/>
                <w:szCs w:val="20"/>
              </w:rPr>
            </w:pPr>
            <w:r w:rsidRPr="00755F88">
              <w:rPr>
                <w:b/>
                <w:sz w:val="20"/>
                <w:szCs w:val="20"/>
              </w:rPr>
              <w:t>Netto driftsresultat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jc w:val="center"/>
              <w:rPr>
                <w:b/>
                <w:sz w:val="18"/>
                <w:szCs w:val="18"/>
              </w:rPr>
            </w:pPr>
            <w:r>
              <w:rPr>
                <w:b/>
                <w:sz w:val="18"/>
                <w:szCs w:val="18"/>
              </w:rPr>
              <w:t>-7 248 53</w:t>
            </w:r>
            <w:r w:rsidRPr="00755F88">
              <w:rPr>
                <w:b/>
                <w:sz w:val="18"/>
                <w:szCs w:val="18"/>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D62A57" w:rsidRDefault="00D62A57" w:rsidP="00D62A57">
            <w:pPr>
              <w:jc w:val="center"/>
              <w:rPr>
                <w:b/>
                <w:sz w:val="18"/>
                <w:szCs w:val="18"/>
              </w:rPr>
            </w:pPr>
          </w:p>
          <w:p w:rsidR="00D62A57" w:rsidRPr="00755F88" w:rsidRDefault="00D62A57" w:rsidP="00D62A57">
            <w:pPr>
              <w:jc w:val="center"/>
              <w:rPr>
                <w:b/>
                <w:sz w:val="18"/>
                <w:szCs w:val="18"/>
              </w:rPr>
            </w:pPr>
            <w:r>
              <w:rPr>
                <w:b/>
                <w:sz w:val="18"/>
                <w:szCs w:val="18"/>
              </w:rPr>
              <w:t>5 093 174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D62A57" w:rsidRDefault="00D62A57" w:rsidP="00D62A57">
            <w:pPr>
              <w:jc w:val="center"/>
              <w:rPr>
                <w:b/>
                <w:bCs/>
                <w:sz w:val="18"/>
                <w:szCs w:val="18"/>
              </w:rPr>
            </w:pPr>
          </w:p>
          <w:p w:rsidR="00D62A57" w:rsidRPr="00755F88" w:rsidRDefault="00D62A57" w:rsidP="00D62A57">
            <w:pPr>
              <w:jc w:val="center"/>
              <w:rPr>
                <w:b/>
                <w:sz w:val="18"/>
                <w:szCs w:val="18"/>
              </w:rPr>
            </w:pPr>
            <w:r>
              <w:rPr>
                <w:b/>
                <w:bCs/>
                <w:sz w:val="18"/>
                <w:szCs w:val="18"/>
              </w:rPr>
              <w:t>1 306 029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D62A57" w:rsidRDefault="00D62A57" w:rsidP="00D62A57">
            <w:pPr>
              <w:jc w:val="center"/>
              <w:rPr>
                <w:b/>
                <w:bCs/>
                <w:sz w:val="18"/>
                <w:szCs w:val="18"/>
              </w:rPr>
            </w:pPr>
          </w:p>
          <w:p w:rsidR="00D62A57" w:rsidRPr="00755F88" w:rsidRDefault="00D62A57" w:rsidP="00D62A57">
            <w:pPr>
              <w:jc w:val="center"/>
              <w:rPr>
                <w:b/>
                <w:sz w:val="18"/>
                <w:szCs w:val="18"/>
              </w:rPr>
            </w:pPr>
            <w:r>
              <w:rPr>
                <w:b/>
                <w:bCs/>
                <w:sz w:val="18"/>
                <w:szCs w:val="18"/>
              </w:rPr>
              <w:t>2 546 301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D62A57" w:rsidRDefault="00D62A57" w:rsidP="00D62A57">
            <w:pPr>
              <w:jc w:val="center"/>
              <w:rPr>
                <w:b/>
                <w:bCs/>
                <w:sz w:val="18"/>
                <w:szCs w:val="18"/>
              </w:rPr>
            </w:pPr>
          </w:p>
          <w:p w:rsidR="00D62A57" w:rsidRPr="00755F88" w:rsidRDefault="00D62A57" w:rsidP="00D62A57">
            <w:pPr>
              <w:jc w:val="center"/>
              <w:rPr>
                <w:b/>
                <w:sz w:val="18"/>
                <w:szCs w:val="18"/>
              </w:rPr>
            </w:pPr>
            <w:r>
              <w:rPr>
                <w:b/>
                <w:bCs/>
                <w:sz w:val="18"/>
                <w:szCs w:val="18"/>
              </w:rPr>
              <w:t>1 148 571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D62A57" w:rsidRDefault="00D62A57" w:rsidP="00D62A57">
            <w:pPr>
              <w:jc w:val="center"/>
              <w:rPr>
                <w:b/>
                <w:bCs/>
                <w:sz w:val="18"/>
                <w:szCs w:val="18"/>
              </w:rPr>
            </w:pPr>
          </w:p>
          <w:p w:rsidR="00D62A57" w:rsidRPr="00755F88" w:rsidRDefault="00D62A57" w:rsidP="00D62A57">
            <w:pPr>
              <w:jc w:val="center"/>
              <w:rPr>
                <w:b/>
                <w:sz w:val="18"/>
                <w:szCs w:val="18"/>
              </w:rPr>
            </w:pPr>
            <w:r>
              <w:rPr>
                <w:b/>
                <w:bCs/>
                <w:sz w:val="18"/>
                <w:szCs w:val="18"/>
              </w:rPr>
              <w:t>3 645 518</w:t>
            </w:r>
          </w:p>
        </w:tc>
      </w:tr>
      <w:tr w:rsidR="00D62A57" w:rsidRPr="00755F88" w:rsidTr="00E441E6">
        <w:trPr>
          <w:trHeight w:val="20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spacing w:line="259" w:lineRule="auto"/>
              <w:rPr>
                <w:b/>
                <w:sz w:val="20"/>
                <w:szCs w:val="20"/>
              </w:rPr>
            </w:pPr>
            <w:r w:rsidRPr="00755F88">
              <w:rPr>
                <w:b/>
                <w:sz w:val="20"/>
                <w:szCs w:val="20"/>
              </w:rPr>
              <w:t>Lånegjeld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jc w:val="center"/>
              <w:rPr>
                <w:b/>
                <w:sz w:val="18"/>
                <w:szCs w:val="18"/>
              </w:rPr>
            </w:pPr>
            <w:r w:rsidRPr="00755F88">
              <w:rPr>
                <w:b/>
                <w:sz w:val="18"/>
                <w:szCs w:val="18"/>
              </w:rPr>
              <w:t>277,3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tcPr>
          <w:p w:rsidR="00D62A57" w:rsidRDefault="00D62A57" w:rsidP="00D62A57">
            <w:pPr>
              <w:jc w:val="center"/>
              <w:rPr>
                <w:b/>
                <w:bCs/>
                <w:sz w:val="18"/>
                <w:szCs w:val="18"/>
              </w:rPr>
            </w:pPr>
          </w:p>
          <w:p w:rsidR="00D62A57" w:rsidRPr="00755F88" w:rsidRDefault="00D62A57" w:rsidP="00D62A57">
            <w:pPr>
              <w:jc w:val="center"/>
              <w:rPr>
                <w:b/>
                <w:bCs/>
                <w:sz w:val="18"/>
                <w:szCs w:val="18"/>
              </w:rPr>
            </w:pPr>
            <w:r w:rsidRPr="00755F88">
              <w:rPr>
                <w:b/>
                <w:bCs/>
                <w:sz w:val="18"/>
                <w:szCs w:val="18"/>
              </w:rPr>
              <w:t>284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tcPr>
          <w:p w:rsidR="00D62A57" w:rsidRDefault="00D62A57" w:rsidP="00D62A57">
            <w:pPr>
              <w:jc w:val="center"/>
              <w:rPr>
                <w:b/>
                <w:bCs/>
                <w:sz w:val="18"/>
                <w:szCs w:val="18"/>
              </w:rPr>
            </w:pPr>
          </w:p>
          <w:p w:rsidR="00D62A57" w:rsidRPr="00755F88" w:rsidRDefault="00D62A57" w:rsidP="00D62A57">
            <w:pPr>
              <w:jc w:val="center"/>
              <w:rPr>
                <w:b/>
                <w:bCs/>
                <w:sz w:val="18"/>
                <w:szCs w:val="18"/>
              </w:rPr>
            </w:pPr>
            <w:r w:rsidRPr="00755F88">
              <w:rPr>
                <w:b/>
                <w:bCs/>
                <w:sz w:val="18"/>
                <w:szCs w:val="18"/>
              </w:rPr>
              <w:t>327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tcPr>
          <w:p w:rsidR="00D62A57" w:rsidRDefault="00D62A57" w:rsidP="00D62A57">
            <w:pPr>
              <w:jc w:val="center"/>
              <w:rPr>
                <w:b/>
                <w:bCs/>
                <w:sz w:val="18"/>
                <w:szCs w:val="18"/>
              </w:rPr>
            </w:pPr>
          </w:p>
          <w:p w:rsidR="00D62A57" w:rsidRPr="00755F88" w:rsidRDefault="00D62A57" w:rsidP="00D62A57">
            <w:pPr>
              <w:jc w:val="center"/>
              <w:rPr>
                <w:b/>
                <w:bCs/>
                <w:sz w:val="18"/>
                <w:szCs w:val="18"/>
              </w:rPr>
            </w:pPr>
            <w:r w:rsidRPr="00755F88">
              <w:rPr>
                <w:b/>
                <w:bCs/>
                <w:sz w:val="18"/>
                <w:szCs w:val="18"/>
              </w:rPr>
              <w:t>334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tcPr>
          <w:p w:rsidR="00D62A57" w:rsidRDefault="00D62A57" w:rsidP="00D62A57">
            <w:pPr>
              <w:jc w:val="center"/>
              <w:rPr>
                <w:b/>
                <w:bCs/>
                <w:sz w:val="18"/>
                <w:szCs w:val="18"/>
              </w:rPr>
            </w:pPr>
          </w:p>
          <w:p w:rsidR="00D62A57" w:rsidRPr="00755F88" w:rsidRDefault="00D62A57" w:rsidP="00D62A57">
            <w:pPr>
              <w:jc w:val="center"/>
              <w:rPr>
                <w:b/>
                <w:bCs/>
                <w:sz w:val="18"/>
                <w:szCs w:val="18"/>
              </w:rPr>
            </w:pPr>
            <w:r w:rsidRPr="00755F88">
              <w:rPr>
                <w:b/>
                <w:bCs/>
                <w:sz w:val="18"/>
                <w:szCs w:val="18"/>
              </w:rPr>
              <w:t>326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tcPr>
          <w:p w:rsidR="00D62A57" w:rsidRDefault="00D62A57" w:rsidP="00D62A57">
            <w:pPr>
              <w:jc w:val="center"/>
              <w:rPr>
                <w:b/>
                <w:bCs/>
                <w:sz w:val="18"/>
                <w:szCs w:val="18"/>
              </w:rPr>
            </w:pPr>
          </w:p>
          <w:p w:rsidR="00D62A57" w:rsidRPr="00755F88" w:rsidRDefault="00D62A57" w:rsidP="00D62A57">
            <w:pPr>
              <w:jc w:val="center"/>
              <w:rPr>
                <w:b/>
                <w:bCs/>
                <w:sz w:val="18"/>
                <w:szCs w:val="18"/>
              </w:rPr>
            </w:pPr>
            <w:r w:rsidRPr="00755F88">
              <w:rPr>
                <w:b/>
                <w:bCs/>
                <w:sz w:val="18"/>
                <w:szCs w:val="18"/>
              </w:rPr>
              <w:t>317</w:t>
            </w:r>
          </w:p>
        </w:tc>
      </w:tr>
      <w:tr w:rsidR="00D62A57" w:rsidRPr="00755F88" w:rsidTr="00E441E6">
        <w:trPr>
          <w:trHeight w:val="30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spacing w:line="259" w:lineRule="auto"/>
              <w:rPr>
                <w:b/>
                <w:sz w:val="20"/>
                <w:szCs w:val="20"/>
              </w:rPr>
            </w:pPr>
            <w:r w:rsidRPr="00755F88">
              <w:rPr>
                <w:b/>
                <w:sz w:val="20"/>
                <w:szCs w:val="20"/>
              </w:rPr>
              <w:t>Renter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jc w:val="center"/>
              <w:rPr>
                <w:b/>
                <w:sz w:val="18"/>
                <w:szCs w:val="18"/>
              </w:rPr>
            </w:pPr>
            <w:r w:rsidRPr="00755F88">
              <w:rPr>
                <w:b/>
                <w:sz w:val="18"/>
                <w:szCs w:val="18"/>
              </w:rPr>
              <w:t>7,6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tcPr>
          <w:p w:rsidR="00D62A57" w:rsidRDefault="00D62A57" w:rsidP="00D62A57">
            <w:pPr>
              <w:jc w:val="center"/>
              <w:rPr>
                <w:b/>
                <w:bCs/>
                <w:sz w:val="18"/>
                <w:szCs w:val="18"/>
              </w:rPr>
            </w:pPr>
          </w:p>
          <w:p w:rsidR="00D62A57" w:rsidRPr="00755F88" w:rsidRDefault="00D62A57" w:rsidP="00D62A57">
            <w:pPr>
              <w:jc w:val="center"/>
              <w:rPr>
                <w:b/>
                <w:sz w:val="18"/>
                <w:szCs w:val="18"/>
              </w:rPr>
            </w:pPr>
            <w:r w:rsidRPr="00755F88">
              <w:rPr>
                <w:b/>
                <w:bCs/>
                <w:sz w:val="18"/>
                <w:szCs w:val="18"/>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tcPr>
          <w:p w:rsidR="00D62A57" w:rsidRDefault="00D62A57" w:rsidP="00D62A57">
            <w:pPr>
              <w:jc w:val="center"/>
              <w:rPr>
                <w:b/>
                <w:bCs/>
                <w:sz w:val="18"/>
                <w:szCs w:val="18"/>
              </w:rPr>
            </w:pPr>
          </w:p>
          <w:p w:rsidR="00D62A57" w:rsidRPr="00755F88" w:rsidRDefault="00D62A57" w:rsidP="00D62A57">
            <w:pPr>
              <w:jc w:val="center"/>
              <w:rPr>
                <w:b/>
                <w:sz w:val="18"/>
                <w:szCs w:val="18"/>
              </w:rPr>
            </w:pPr>
            <w:r w:rsidRPr="00755F88">
              <w:rPr>
                <w:b/>
                <w:bCs/>
                <w:sz w:val="18"/>
                <w:szCs w:val="18"/>
              </w:rPr>
              <w:t>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tcPr>
          <w:p w:rsidR="00D62A57" w:rsidRDefault="00D62A57" w:rsidP="00D62A57">
            <w:pPr>
              <w:jc w:val="center"/>
              <w:rPr>
                <w:b/>
                <w:bCs/>
                <w:sz w:val="18"/>
                <w:szCs w:val="18"/>
              </w:rPr>
            </w:pPr>
          </w:p>
          <w:p w:rsidR="00D62A57" w:rsidRPr="00755F88" w:rsidRDefault="00D62A57" w:rsidP="00D62A57">
            <w:pPr>
              <w:jc w:val="center"/>
              <w:rPr>
                <w:b/>
                <w:sz w:val="18"/>
                <w:szCs w:val="18"/>
              </w:rPr>
            </w:pPr>
            <w:r w:rsidRPr="00755F88">
              <w:rPr>
                <w:b/>
                <w:bCs/>
                <w:sz w:val="18"/>
                <w:szCs w:val="18"/>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tcPr>
          <w:p w:rsidR="00D62A57" w:rsidRDefault="00D62A57" w:rsidP="00D62A57">
            <w:pPr>
              <w:jc w:val="center"/>
              <w:rPr>
                <w:b/>
                <w:bCs/>
                <w:sz w:val="18"/>
                <w:szCs w:val="18"/>
              </w:rPr>
            </w:pPr>
          </w:p>
          <w:p w:rsidR="00D62A57" w:rsidRPr="00755F88" w:rsidRDefault="00D62A57" w:rsidP="00D62A57">
            <w:pPr>
              <w:jc w:val="center"/>
              <w:rPr>
                <w:b/>
                <w:sz w:val="18"/>
                <w:szCs w:val="18"/>
              </w:rPr>
            </w:pPr>
            <w:r w:rsidRPr="00755F88">
              <w:rPr>
                <w:b/>
                <w:bCs/>
                <w:sz w:val="18"/>
                <w:szCs w:val="18"/>
              </w:rPr>
              <w:t>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tcPr>
          <w:p w:rsidR="00D62A57" w:rsidRDefault="00D62A57" w:rsidP="00D62A57">
            <w:pPr>
              <w:jc w:val="center"/>
              <w:rPr>
                <w:b/>
                <w:bCs/>
                <w:sz w:val="18"/>
                <w:szCs w:val="18"/>
              </w:rPr>
            </w:pPr>
          </w:p>
          <w:p w:rsidR="00D62A57" w:rsidRPr="00755F88" w:rsidRDefault="00D62A57" w:rsidP="00D62A57">
            <w:pPr>
              <w:jc w:val="center"/>
              <w:rPr>
                <w:b/>
                <w:sz w:val="18"/>
                <w:szCs w:val="18"/>
              </w:rPr>
            </w:pPr>
            <w:r w:rsidRPr="00755F88">
              <w:rPr>
                <w:b/>
                <w:bCs/>
                <w:sz w:val="18"/>
                <w:szCs w:val="18"/>
              </w:rPr>
              <w:t>7,7</w:t>
            </w:r>
          </w:p>
        </w:tc>
      </w:tr>
      <w:tr w:rsidR="00D62A57" w:rsidRPr="00755F88" w:rsidTr="00E441E6">
        <w:trPr>
          <w:trHeight w:val="25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2A57" w:rsidRPr="00755F88" w:rsidRDefault="00D62A57" w:rsidP="00D62A57">
            <w:pPr>
              <w:spacing w:line="259" w:lineRule="auto"/>
              <w:rPr>
                <w:b/>
                <w:sz w:val="20"/>
                <w:szCs w:val="20"/>
              </w:rPr>
            </w:pPr>
            <w:r w:rsidRPr="00755F88">
              <w:rPr>
                <w:b/>
                <w:sz w:val="20"/>
                <w:szCs w:val="20"/>
              </w:rPr>
              <w:t>Avdrag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jc w:val="center"/>
              <w:rPr>
                <w:b/>
                <w:sz w:val="18"/>
                <w:szCs w:val="18"/>
              </w:rPr>
            </w:pPr>
            <w:r w:rsidRPr="00755F88">
              <w:rPr>
                <w:b/>
                <w:sz w:val="18"/>
                <w:szCs w:val="18"/>
              </w:rPr>
              <w:t>8,7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D62A57" w:rsidRDefault="00D62A57" w:rsidP="00D62A57">
            <w:pPr>
              <w:jc w:val="center"/>
              <w:rPr>
                <w:b/>
                <w:bCs/>
                <w:sz w:val="18"/>
                <w:szCs w:val="18"/>
              </w:rPr>
            </w:pPr>
          </w:p>
          <w:p w:rsidR="00D62A57" w:rsidRPr="00755F88" w:rsidRDefault="00D62A57" w:rsidP="00D62A57">
            <w:pPr>
              <w:jc w:val="center"/>
              <w:rPr>
                <w:b/>
                <w:sz w:val="18"/>
                <w:szCs w:val="18"/>
              </w:rPr>
            </w:pPr>
            <w:r w:rsidRPr="00755F88">
              <w:rPr>
                <w:b/>
                <w:bCs/>
                <w:sz w:val="18"/>
                <w:szCs w:val="18"/>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D62A57" w:rsidRDefault="00D62A57" w:rsidP="00D62A57">
            <w:pPr>
              <w:jc w:val="center"/>
              <w:rPr>
                <w:b/>
                <w:bCs/>
                <w:sz w:val="18"/>
                <w:szCs w:val="18"/>
              </w:rPr>
            </w:pPr>
          </w:p>
          <w:p w:rsidR="00D62A57" w:rsidRPr="00755F88" w:rsidRDefault="00D62A57" w:rsidP="00D62A57">
            <w:pPr>
              <w:jc w:val="center"/>
              <w:rPr>
                <w:b/>
                <w:sz w:val="18"/>
                <w:szCs w:val="18"/>
              </w:rPr>
            </w:pPr>
            <w:r w:rsidRPr="00755F88">
              <w:rPr>
                <w:b/>
                <w:bCs/>
                <w:sz w:val="18"/>
                <w:szCs w:val="18"/>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D62A57" w:rsidRDefault="00D62A57" w:rsidP="00D62A57">
            <w:pPr>
              <w:jc w:val="center"/>
              <w:rPr>
                <w:b/>
                <w:bCs/>
                <w:sz w:val="18"/>
                <w:szCs w:val="18"/>
              </w:rPr>
            </w:pPr>
          </w:p>
          <w:p w:rsidR="00D62A57" w:rsidRPr="00755F88" w:rsidRDefault="00D62A57" w:rsidP="00D62A57">
            <w:pPr>
              <w:jc w:val="center"/>
              <w:rPr>
                <w:b/>
                <w:sz w:val="18"/>
                <w:szCs w:val="18"/>
              </w:rPr>
            </w:pPr>
            <w:r w:rsidRPr="00755F88">
              <w:rPr>
                <w:b/>
                <w:bCs/>
                <w:sz w:val="18"/>
                <w:szCs w:val="18"/>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D62A57" w:rsidRDefault="00D62A57" w:rsidP="00D62A57">
            <w:pPr>
              <w:jc w:val="center"/>
              <w:rPr>
                <w:b/>
                <w:bCs/>
                <w:sz w:val="18"/>
                <w:szCs w:val="18"/>
              </w:rPr>
            </w:pPr>
          </w:p>
          <w:p w:rsidR="00D62A57" w:rsidRPr="00755F88" w:rsidRDefault="00D62A57" w:rsidP="00D62A57">
            <w:pPr>
              <w:jc w:val="center"/>
              <w:rPr>
                <w:b/>
                <w:sz w:val="18"/>
                <w:szCs w:val="18"/>
              </w:rPr>
            </w:pPr>
            <w:r w:rsidRPr="00755F88">
              <w:rPr>
                <w:b/>
                <w:bCs/>
                <w:sz w:val="18"/>
                <w:szCs w:val="18"/>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D62A57" w:rsidRDefault="00D62A57" w:rsidP="00D62A57">
            <w:pPr>
              <w:jc w:val="center"/>
              <w:rPr>
                <w:b/>
                <w:bCs/>
                <w:sz w:val="18"/>
                <w:szCs w:val="18"/>
              </w:rPr>
            </w:pPr>
          </w:p>
          <w:p w:rsidR="00D62A57" w:rsidRPr="00755F88" w:rsidRDefault="00D62A57" w:rsidP="00D62A57">
            <w:pPr>
              <w:jc w:val="center"/>
              <w:rPr>
                <w:b/>
                <w:sz w:val="18"/>
                <w:szCs w:val="18"/>
              </w:rPr>
            </w:pPr>
            <w:r w:rsidRPr="00755F88">
              <w:rPr>
                <w:b/>
                <w:bCs/>
                <w:sz w:val="18"/>
                <w:szCs w:val="18"/>
              </w:rPr>
              <w:t>17</w:t>
            </w:r>
          </w:p>
        </w:tc>
      </w:tr>
      <w:tr w:rsidR="00D62A57" w:rsidRPr="00755F88" w:rsidTr="00D62A57">
        <w:trPr>
          <w:trHeight w:val="47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2A57" w:rsidRPr="00755F88" w:rsidRDefault="00D62A57" w:rsidP="00D62A57">
            <w:pPr>
              <w:spacing w:line="259" w:lineRule="auto"/>
              <w:rPr>
                <w:b/>
                <w:sz w:val="20"/>
                <w:szCs w:val="20"/>
              </w:rPr>
            </w:pPr>
            <w:r w:rsidRPr="00755F88">
              <w:rPr>
                <w:b/>
                <w:sz w:val="20"/>
                <w:szCs w:val="20"/>
              </w:rPr>
              <w:t>Sum renter og avdrag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jc w:val="center"/>
              <w:rPr>
                <w:b/>
                <w:sz w:val="18"/>
                <w:szCs w:val="18"/>
              </w:rPr>
            </w:pPr>
            <w:r w:rsidRPr="00755F88">
              <w:rPr>
                <w:b/>
                <w:sz w:val="18"/>
                <w:szCs w:val="18"/>
              </w:rPr>
              <w:t>16,3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2A57" w:rsidRPr="00755F88" w:rsidRDefault="00D62A57" w:rsidP="00D62A57">
            <w:pPr>
              <w:jc w:val="center"/>
              <w:rPr>
                <w:b/>
                <w:sz w:val="18"/>
                <w:szCs w:val="18"/>
              </w:rPr>
            </w:pPr>
            <w:r w:rsidRPr="00755F88">
              <w:rPr>
                <w:b/>
                <w:sz w:val="18"/>
                <w:szCs w:val="18"/>
              </w:rPr>
              <w:t>20,5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2A57" w:rsidRPr="00755F88" w:rsidRDefault="00D62A57" w:rsidP="00D62A57">
            <w:pPr>
              <w:jc w:val="center"/>
              <w:rPr>
                <w:b/>
                <w:sz w:val="18"/>
                <w:szCs w:val="18"/>
              </w:rPr>
            </w:pPr>
            <w:r w:rsidRPr="00755F88">
              <w:rPr>
                <w:b/>
                <w:sz w:val="18"/>
                <w:szCs w:val="18"/>
              </w:rPr>
              <w:t>19,4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2A57" w:rsidRPr="00755F88" w:rsidRDefault="00D62A57" w:rsidP="00D62A57">
            <w:pPr>
              <w:jc w:val="center"/>
              <w:rPr>
                <w:b/>
                <w:sz w:val="18"/>
                <w:szCs w:val="18"/>
              </w:rPr>
            </w:pPr>
            <w:r w:rsidRPr="00755F88">
              <w:rPr>
                <w:b/>
                <w:sz w:val="18"/>
                <w:szCs w:val="18"/>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2A57" w:rsidRPr="00755F88" w:rsidRDefault="00D62A57" w:rsidP="00D62A57">
            <w:pPr>
              <w:jc w:val="center"/>
              <w:rPr>
                <w:b/>
                <w:sz w:val="18"/>
                <w:szCs w:val="18"/>
              </w:rPr>
            </w:pPr>
            <w:r w:rsidRPr="00755F88">
              <w:rPr>
                <w:b/>
                <w:sz w:val="18"/>
                <w:szCs w:val="18"/>
              </w:rPr>
              <w:t>23,7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2A57" w:rsidRPr="00755F88" w:rsidRDefault="00D62A57" w:rsidP="00D62A57">
            <w:pPr>
              <w:jc w:val="center"/>
              <w:rPr>
                <w:b/>
                <w:sz w:val="18"/>
                <w:szCs w:val="18"/>
              </w:rPr>
            </w:pPr>
            <w:r w:rsidRPr="00755F88">
              <w:rPr>
                <w:b/>
                <w:sz w:val="18"/>
                <w:szCs w:val="18"/>
              </w:rPr>
              <w:t>24,7</w:t>
            </w:r>
          </w:p>
        </w:tc>
      </w:tr>
      <w:tr w:rsidR="00D62A57" w:rsidRPr="00755F88" w:rsidTr="00E441E6">
        <w:trPr>
          <w:trHeight w:val="35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2A57" w:rsidRPr="00755F88" w:rsidRDefault="00D62A57" w:rsidP="00D62A57">
            <w:pPr>
              <w:spacing w:line="259" w:lineRule="auto"/>
              <w:rPr>
                <w:b/>
                <w:sz w:val="20"/>
                <w:szCs w:val="20"/>
              </w:rPr>
            </w:pPr>
            <w:r w:rsidRPr="00755F88">
              <w:rPr>
                <w:b/>
                <w:sz w:val="20"/>
                <w:szCs w:val="20"/>
              </w:rPr>
              <w:t xml:space="preserve">Bruk av </w:t>
            </w:r>
            <w:proofErr w:type="spellStart"/>
            <w:r w:rsidRPr="00755F88">
              <w:rPr>
                <w:b/>
                <w:sz w:val="20"/>
                <w:szCs w:val="20"/>
              </w:rPr>
              <w:t>disp.fond</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D62A57" w:rsidRDefault="00D62A57" w:rsidP="00D62A57">
            <w:pPr>
              <w:jc w:val="center"/>
              <w:rPr>
                <w:b/>
                <w:sz w:val="18"/>
                <w:szCs w:val="18"/>
              </w:rPr>
            </w:pPr>
          </w:p>
          <w:p w:rsidR="00D62A57" w:rsidRDefault="00D62A57" w:rsidP="00D62A57">
            <w:pPr>
              <w:jc w:val="center"/>
              <w:rPr>
                <w:b/>
                <w:sz w:val="18"/>
                <w:szCs w:val="18"/>
              </w:rPr>
            </w:pPr>
          </w:p>
          <w:p w:rsidR="00D62A57" w:rsidRPr="00755F88" w:rsidRDefault="00D62A57" w:rsidP="00D62A57">
            <w:pPr>
              <w:jc w:val="center"/>
              <w:rPr>
                <w:b/>
                <w:sz w:val="18"/>
                <w:szCs w:val="18"/>
              </w:rPr>
            </w:pPr>
            <w:r w:rsidRPr="00755F88">
              <w:rPr>
                <w:b/>
                <w:sz w:val="18"/>
                <w:szCs w:val="18"/>
              </w:rPr>
              <w:t>-3 926 174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D62A57" w:rsidRPr="00755F88" w:rsidRDefault="00D62A57" w:rsidP="00D62A57">
            <w:pPr>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D62A57" w:rsidRDefault="00D62A57" w:rsidP="00D62A57">
            <w:pPr>
              <w:jc w:val="center"/>
              <w:rPr>
                <w:b/>
                <w:bCs/>
                <w:sz w:val="18"/>
                <w:szCs w:val="18"/>
              </w:rPr>
            </w:pPr>
          </w:p>
          <w:p w:rsidR="00D62A57" w:rsidRDefault="00D62A57" w:rsidP="00D62A57">
            <w:pPr>
              <w:jc w:val="center"/>
              <w:rPr>
                <w:b/>
                <w:bCs/>
                <w:sz w:val="18"/>
                <w:szCs w:val="18"/>
              </w:rPr>
            </w:pPr>
          </w:p>
          <w:p w:rsidR="00D62A57" w:rsidRPr="00755F88" w:rsidRDefault="00D62A57" w:rsidP="00D62A57">
            <w:pPr>
              <w:jc w:val="center"/>
              <w:rPr>
                <w:b/>
                <w:sz w:val="18"/>
                <w:szCs w:val="18"/>
              </w:rPr>
            </w:pPr>
            <w:r w:rsidRPr="00755F88">
              <w:rPr>
                <w:b/>
                <w:bCs/>
                <w:sz w:val="18"/>
                <w:szCs w:val="18"/>
              </w:rPr>
              <w:t>-86 077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D62A57" w:rsidRPr="00755F88" w:rsidRDefault="00D62A57" w:rsidP="00D62A57">
            <w:pPr>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D62A57" w:rsidRPr="00755F88" w:rsidRDefault="00D62A57" w:rsidP="00D62A57">
            <w:pPr>
              <w:jc w:val="center"/>
              <w:rPr>
                <w:b/>
                <w:sz w:val="18"/>
                <w:szCs w:val="18"/>
              </w:rPr>
            </w:pPr>
          </w:p>
        </w:tc>
      </w:tr>
      <w:tr w:rsidR="00D62A57" w:rsidRPr="00755F88" w:rsidTr="00E441E6">
        <w:trPr>
          <w:trHeight w:val="27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spacing w:line="259" w:lineRule="auto"/>
              <w:rPr>
                <w:b/>
                <w:sz w:val="20"/>
                <w:szCs w:val="20"/>
              </w:rPr>
            </w:pPr>
            <w:r w:rsidRPr="00755F88">
              <w:rPr>
                <w:b/>
                <w:sz w:val="20"/>
                <w:szCs w:val="20"/>
              </w:rPr>
              <w:t>Bruk av premieavviksfond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jc w:val="center"/>
              <w:rPr>
                <w:b/>
                <w:sz w:val="18"/>
                <w:szCs w:val="18"/>
              </w:rPr>
            </w:pPr>
            <w:r w:rsidRPr="00755F88">
              <w:rPr>
                <w:b/>
                <w:sz w:val="18"/>
                <w:szCs w:val="18"/>
              </w:rPr>
              <w:t>-837 305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jc w:val="center"/>
              <w:rPr>
                <w:b/>
                <w:sz w:val="18"/>
                <w:szCs w:val="18"/>
              </w:rPr>
            </w:pPr>
            <w:r w:rsidRPr="00755F88">
              <w:rPr>
                <w:b/>
                <w:sz w:val="18"/>
                <w:szCs w:val="18"/>
              </w:rPr>
              <w:t>-1 142 000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jc w:val="center"/>
              <w:rPr>
                <w:b/>
                <w:sz w:val="18"/>
                <w:szCs w:val="18"/>
              </w:rPr>
            </w:pPr>
            <w:r w:rsidRPr="00755F88">
              <w:rPr>
                <w:b/>
                <w:sz w:val="18"/>
                <w:szCs w:val="18"/>
              </w:rPr>
              <w:t>-1 367 000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jc w:val="center"/>
              <w:rPr>
                <w:b/>
                <w:sz w:val="18"/>
                <w:szCs w:val="18"/>
              </w:rPr>
            </w:pPr>
            <w:r w:rsidRPr="00755F88">
              <w:rPr>
                <w:b/>
                <w:sz w:val="18"/>
                <w:szCs w:val="18"/>
              </w:rPr>
              <w:t>-2 678 000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jc w:val="center"/>
              <w:rPr>
                <w:b/>
                <w:sz w:val="18"/>
                <w:szCs w:val="18"/>
              </w:rPr>
            </w:pPr>
            <w:r w:rsidRPr="00755F88">
              <w:rPr>
                <w:b/>
                <w:sz w:val="18"/>
                <w:szCs w:val="18"/>
              </w:rPr>
              <w:t>-3 928 900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jc w:val="center"/>
              <w:rPr>
                <w:b/>
                <w:sz w:val="18"/>
                <w:szCs w:val="18"/>
              </w:rPr>
            </w:pPr>
            <w:r w:rsidRPr="00755F88">
              <w:rPr>
                <w:b/>
                <w:sz w:val="18"/>
                <w:szCs w:val="18"/>
              </w:rPr>
              <w:t>-5 813 500</w:t>
            </w:r>
          </w:p>
        </w:tc>
      </w:tr>
      <w:tr w:rsidR="00D62A57" w:rsidRPr="00755F88" w:rsidTr="00E441E6">
        <w:trPr>
          <w:trHeight w:val="343"/>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spacing w:line="259" w:lineRule="auto"/>
              <w:rPr>
                <w:b/>
                <w:sz w:val="20"/>
                <w:szCs w:val="20"/>
              </w:rPr>
            </w:pPr>
            <w:r w:rsidRPr="00755F88">
              <w:rPr>
                <w:b/>
                <w:sz w:val="20"/>
                <w:szCs w:val="20"/>
              </w:rPr>
              <w:t xml:space="preserve">Avsetning </w:t>
            </w:r>
            <w:proofErr w:type="spellStart"/>
            <w:r w:rsidRPr="00755F88">
              <w:rPr>
                <w:b/>
                <w:sz w:val="20"/>
                <w:szCs w:val="20"/>
              </w:rPr>
              <w:t>disp.fond</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jc w:val="center"/>
              <w:rPr>
                <w:b/>
                <w:sz w:val="18"/>
                <w:szCs w:val="18"/>
              </w:rPr>
            </w:pPr>
            <w:r w:rsidRPr="00755F88">
              <w:rPr>
                <w:b/>
                <w:sz w:val="18"/>
                <w:szCs w:val="18"/>
              </w:rPr>
              <w:t>5 993 015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jc w:val="center"/>
              <w:rPr>
                <w:b/>
                <w:sz w:val="18"/>
                <w:szCs w:val="18"/>
              </w:rPr>
            </w:pPr>
            <w:r w:rsidRPr="00755F88">
              <w:rPr>
                <w:b/>
                <w:sz w:val="18"/>
                <w:szCs w:val="18"/>
              </w:rPr>
              <w:t>2 480 651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jc w:val="center"/>
              <w:rPr>
                <w:b/>
                <w:sz w:val="18"/>
                <w:szCs w:val="18"/>
              </w:rPr>
            </w:pPr>
            <w:r w:rsidRPr="00755F88">
              <w:rPr>
                <w:b/>
                <w:sz w:val="18"/>
                <w:szCs w:val="18"/>
              </w:rPr>
              <w:t>38 731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jc w:val="center"/>
              <w:rPr>
                <w:b/>
                <w:sz w:val="18"/>
                <w:szCs w:val="18"/>
              </w:rPr>
            </w:pPr>
            <w:r w:rsidRPr="00755F88">
              <w:rPr>
                <w:b/>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jc w:val="center"/>
              <w:rPr>
                <w:b/>
                <w:sz w:val="18"/>
                <w:szCs w:val="18"/>
              </w:rPr>
            </w:pPr>
            <w:r w:rsidRPr="00755F88">
              <w:rPr>
                <w:b/>
                <w:sz w:val="18"/>
                <w:szCs w:val="18"/>
              </w:rPr>
              <w:t>2 557 750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2A57" w:rsidRPr="00755F88" w:rsidRDefault="00D62A57" w:rsidP="00D62A57">
            <w:pPr>
              <w:jc w:val="center"/>
              <w:rPr>
                <w:b/>
                <w:sz w:val="18"/>
                <w:szCs w:val="18"/>
              </w:rPr>
            </w:pPr>
            <w:r w:rsidRPr="00755F88">
              <w:rPr>
                <w:b/>
                <w:sz w:val="18"/>
                <w:szCs w:val="18"/>
              </w:rPr>
              <w:t>1 694 741</w:t>
            </w:r>
          </w:p>
        </w:tc>
      </w:tr>
    </w:tbl>
    <w:p w:rsidR="00D62A57" w:rsidRPr="00E441E6" w:rsidRDefault="00D62A57" w:rsidP="00D62A57">
      <w:pPr>
        <w:rPr>
          <w:sz w:val="20"/>
          <w:szCs w:val="20"/>
        </w:rPr>
      </w:pPr>
      <w:r>
        <w:rPr>
          <w:sz w:val="20"/>
          <w:szCs w:val="20"/>
        </w:rPr>
        <w:t>Tall for 20</w:t>
      </w:r>
      <w:r w:rsidRPr="00DA1408">
        <w:rPr>
          <w:sz w:val="20"/>
          <w:szCs w:val="20"/>
        </w:rPr>
        <w:t xml:space="preserve">16 er regnskapstall og for 2017 er tallene </w:t>
      </w:r>
      <w:proofErr w:type="spellStart"/>
      <w:r w:rsidRPr="00DA1408">
        <w:rPr>
          <w:sz w:val="20"/>
          <w:szCs w:val="20"/>
        </w:rPr>
        <w:t>ihht</w:t>
      </w:r>
      <w:proofErr w:type="spellEnd"/>
      <w:r w:rsidRPr="00DA1408">
        <w:rPr>
          <w:sz w:val="20"/>
          <w:szCs w:val="20"/>
        </w:rPr>
        <w:t xml:space="preserve"> siste økonomirapportering.</w:t>
      </w:r>
    </w:p>
    <w:p w:rsidR="00D62A57" w:rsidRDefault="00D62A57" w:rsidP="00D62A57">
      <w:r>
        <w:lastRenderedPageBreak/>
        <w:t xml:space="preserve">De to mest usikre parameterne her er rente og bruk av premieavviksfondet. Rentenivået har lenge vært stabilt, men vil det gjelde også for neste 4-års-periode?  </w:t>
      </w:r>
      <w:proofErr w:type="spellStart"/>
      <w:r>
        <w:t>Mht</w:t>
      </w:r>
      <w:proofErr w:type="spellEnd"/>
      <w:r>
        <w:t xml:space="preserve"> premieavviksfondet er erfaringa at det kan være store differanser mellom prognoser og reelt premieavvik. </w:t>
      </w:r>
    </w:p>
    <w:p w:rsidR="00D62A57" w:rsidRDefault="00D62A57" w:rsidP="00D62A57"/>
    <w:p w:rsidR="00D62A57" w:rsidRDefault="00D62A57" w:rsidP="00D62A57">
      <w:r>
        <w:t xml:space="preserve">Som det framgår av tabellen øker lånegjelda med 33 millioner i perioden! Forutsatt dagens rentenivå, vil renter og avdrag øke med 2 </w:t>
      </w:r>
      <w:proofErr w:type="spellStart"/>
      <w:r>
        <w:t>mill</w:t>
      </w:r>
      <w:proofErr w:type="spellEnd"/>
      <w:r>
        <w:t xml:space="preserve"> fra 2017-nivå. Dette fordi det i forslag til ny kommunelov fra 2020 skal brukes en såkalt forenkla modell for å fastsette nivået på avdrag. (Vi har i 2017 begynt ei opptrapping, men fant ikke økonomisk rom for dette i 2018.) Ei tøffere nedbetalingsordning kombinert med en stadig </w:t>
      </w:r>
      <w:proofErr w:type="spellStart"/>
      <w:r>
        <w:t>høgere</w:t>
      </w:r>
      <w:proofErr w:type="spellEnd"/>
      <w:r>
        <w:t xml:space="preserve"> lånegjeld vil utfordre driftsbudsjettet ytterligere. Investeringstakten må ned!</w:t>
      </w:r>
    </w:p>
    <w:p w:rsidR="00D62A57" w:rsidRDefault="00D62A57" w:rsidP="00D62A57"/>
    <w:p w:rsidR="00D62A57" w:rsidRPr="00BE6935" w:rsidRDefault="00D62A57" w:rsidP="00D62A57">
      <w:r>
        <w:t xml:space="preserve">De tre siste kolonnene viser hvordan vi bruker av reservene i perioden: I 2016 økte reservene med i overkant av 5 </w:t>
      </w:r>
      <w:proofErr w:type="spellStart"/>
      <w:r>
        <w:t>mill</w:t>
      </w:r>
      <w:proofErr w:type="spellEnd"/>
      <w:r>
        <w:t xml:space="preserve"> (5 993 015 – 837 305). I perioden 2017 til 2021 bruker vi av reservene med hhv: 2,6 </w:t>
      </w:r>
      <w:proofErr w:type="spellStart"/>
      <w:r>
        <w:t>mill</w:t>
      </w:r>
      <w:proofErr w:type="spellEnd"/>
      <w:r>
        <w:t xml:space="preserve">, 1,3 </w:t>
      </w:r>
      <w:proofErr w:type="spellStart"/>
      <w:r>
        <w:t>mill</w:t>
      </w:r>
      <w:proofErr w:type="spellEnd"/>
      <w:r>
        <w:t xml:space="preserve">, 2,7 </w:t>
      </w:r>
      <w:proofErr w:type="spellStart"/>
      <w:r>
        <w:t>mill</w:t>
      </w:r>
      <w:proofErr w:type="spellEnd"/>
      <w:r>
        <w:t xml:space="preserve">, 1,4 </w:t>
      </w:r>
      <w:proofErr w:type="spellStart"/>
      <w:r>
        <w:t>mill</w:t>
      </w:r>
      <w:proofErr w:type="spellEnd"/>
      <w:r>
        <w:t xml:space="preserve"> og 4,1 </w:t>
      </w:r>
      <w:proofErr w:type="spellStart"/>
      <w:r>
        <w:t>mill</w:t>
      </w:r>
      <w:proofErr w:type="spellEnd"/>
      <w:r>
        <w:t xml:space="preserve"> – til sammen 12,1 mill. Det betyr at disposisjonsfondet, som ved utgangen av 2016 var på 20 mill., skrumper betraktelig inn i perioden. En ser også at vi styrer mot negative driftsresultat i perioden.</w:t>
      </w:r>
    </w:p>
    <w:p w:rsidR="00D62A57" w:rsidRPr="007E2232" w:rsidRDefault="00D62A57" w:rsidP="00D62A57"/>
    <w:p w:rsidR="00D62A57" w:rsidRDefault="00D62A57" w:rsidP="00D62A57">
      <w:pPr>
        <w:contextualSpacing/>
      </w:pPr>
      <w:r>
        <w:t xml:space="preserve">Det er all grunn til å skru på varsellamper når det gjelder den økonomiske utviklinga framover. Vi kan ikke forvente radikale endringer i folketall eller rammeoverføringer framover. Derimot kan vi forvente at det på noen tjenesteområder stilles strengere krav, som gjerne medfører ekstra kostnader, og vi må forvente et større behov for helsetjenester. Det er også et vedlikeholdsetterslep på kommunale utleieboliger, </w:t>
      </w:r>
      <w:proofErr w:type="spellStart"/>
      <w:r>
        <w:t>jfr</w:t>
      </w:r>
      <w:proofErr w:type="spellEnd"/>
      <w:r>
        <w:t xml:space="preserve"> forvaltningsrapport som forelegges kommunestyret i desember. </w:t>
      </w:r>
    </w:p>
    <w:p w:rsidR="00D62A57" w:rsidRDefault="00D62A57" w:rsidP="00D62A57">
      <w:pPr>
        <w:contextualSpacing/>
      </w:pPr>
    </w:p>
    <w:p w:rsidR="00D62A57" w:rsidRDefault="00D62A57" w:rsidP="00D62A57">
      <w:pPr>
        <w:contextualSpacing/>
      </w:pPr>
      <w:r>
        <w:t xml:space="preserve">Budsjettet har også noen usikkerhetsmoment som kan slå negativt ut: det er ikke lagt inn økt egenandel på fortsatt sykestuedrift – dagens ramme videreføres. IMDI har signalisert at det er redusert behov for å ta imot flyktninger. Det er beregna mottak av 10 flyktninger pr år. Stopp i mottaket vil få en budsjettmessig negativ konsekvens. Når det gjelder eiendomsskatt på verker og bruk er det foreslått endringer fra 2019. En eventuell negativ økonomisk konsekvens av denne endringa er heller ikke lagt inn. </w:t>
      </w:r>
    </w:p>
    <w:p w:rsidR="00D62A57" w:rsidRDefault="00D62A57" w:rsidP="00D62A57">
      <w:pPr>
        <w:contextualSpacing/>
      </w:pPr>
    </w:p>
    <w:p w:rsidR="00D62A57" w:rsidRDefault="00D62A57" w:rsidP="00D62A57">
      <w:pPr>
        <w:contextualSpacing/>
      </w:pPr>
      <w:r>
        <w:t xml:space="preserve">Usikkerhetsmoment i økonomisk positiv retning er mangelvare. Ei avgift </w:t>
      </w:r>
      <w:proofErr w:type="spellStart"/>
      <w:r>
        <w:t>knytta</w:t>
      </w:r>
      <w:proofErr w:type="spellEnd"/>
      <w:r>
        <w:t xml:space="preserve"> opp mot havbruk, slik det har vært foreslått lenge, vil kunne gi kommunen en inntekt, men foreløpig er det ikke kommet avklaring. </w:t>
      </w:r>
    </w:p>
    <w:p w:rsidR="00D62A57" w:rsidRDefault="00D62A57" w:rsidP="00D62A57">
      <w:pPr>
        <w:contextualSpacing/>
      </w:pPr>
    </w:p>
    <w:p w:rsidR="00D62A57" w:rsidRDefault="00D62A57" w:rsidP="00D62A57">
      <w:pPr>
        <w:contextualSpacing/>
      </w:pPr>
      <w:r>
        <w:t>Rådmannen vil likevel framheve at til tross for økonomiske trange rammer leverer Skjervøy kommune tjenester på et høgt nivå. Men vi må ta høyde for at nivået på noen tjenester må tas ned.  Det kan gjøres ved at vi endrer måten vi utfører tjenester på eller måten vi organiserer tjenestene på. I 2018 vil det gjennomføres noen omstillinger innen helse- og omsorg som har som mål å få bedre sammenheng mellom virksomheter, større brukerfokus og bedre kontroll på økonomi. Endringer gjennom digitalisering av tjenester er også på trappene. Skjervøy skal, sammen med de andre Nord-Troms-kommunene, i gang med et større digitaliseringsarbeid. Det skal gjøre kommunale tjenester mer tilgjengelig for innbyggerne, og det skal frigjøre tid. Det siste trenges, for endringstakten øker samtidig som rammene bli strammere.</w:t>
      </w:r>
    </w:p>
    <w:p w:rsidR="00D62A57" w:rsidRDefault="00D62A57" w:rsidP="00D62A57">
      <w:pPr>
        <w:contextualSpacing/>
      </w:pPr>
    </w:p>
    <w:p w:rsidR="00D62A57" w:rsidRPr="00430554" w:rsidRDefault="00D62A57" w:rsidP="00D62A57">
      <w:pPr>
        <w:rPr>
          <w:i/>
        </w:rPr>
      </w:pPr>
    </w:p>
    <w:p w:rsidR="00BA480F" w:rsidRDefault="00BA480F" w:rsidP="004C1BD0">
      <w:pPr>
        <w:contextualSpacing/>
        <w:rPr>
          <w:i/>
        </w:rPr>
      </w:pPr>
    </w:p>
    <w:p w:rsidR="00AF0B4B" w:rsidRPr="003732DF" w:rsidRDefault="00AF0B4B" w:rsidP="004C1BD0">
      <w:pPr>
        <w:contextualSpacing/>
      </w:pPr>
    </w:p>
    <w:p w:rsidR="004C1BD0" w:rsidRPr="00293D0C" w:rsidRDefault="004C1BD0" w:rsidP="005A1903">
      <w:pPr>
        <w:pStyle w:val="Overskrift1"/>
        <w:numPr>
          <w:ilvl w:val="0"/>
          <w:numId w:val="1"/>
        </w:numPr>
      </w:pPr>
      <w:bookmarkStart w:id="4" w:name="_Toc497893542"/>
      <w:r w:rsidRPr="00293D0C">
        <w:lastRenderedPageBreak/>
        <w:t>Kommunens rammebetingelser</w:t>
      </w:r>
      <w:bookmarkEnd w:id="4"/>
    </w:p>
    <w:p w:rsidR="004C1BD0" w:rsidRPr="00BE16E3" w:rsidRDefault="004C1BD0" w:rsidP="005A1903">
      <w:pPr>
        <w:pStyle w:val="Overskrift2"/>
        <w:numPr>
          <w:ilvl w:val="1"/>
          <w:numId w:val="1"/>
        </w:numPr>
        <w:rPr>
          <w:i w:val="0"/>
        </w:rPr>
      </w:pPr>
      <w:bookmarkStart w:id="5" w:name="_Toc497893543"/>
      <w:r w:rsidRPr="00BE16E3">
        <w:rPr>
          <w:i w:val="0"/>
        </w:rPr>
        <w:t>Befolkningsutvikling</w:t>
      </w:r>
      <w:bookmarkEnd w:id="5"/>
      <w:r w:rsidRPr="00BE16E3">
        <w:rPr>
          <w:i w:val="0"/>
        </w:rPr>
        <w:t xml:space="preserve"> </w:t>
      </w:r>
    </w:p>
    <w:p w:rsidR="004C1BD0" w:rsidRPr="00374954" w:rsidRDefault="004C1BD0" w:rsidP="005A1903">
      <w:pPr>
        <w:pStyle w:val="Overskrift3"/>
        <w:numPr>
          <w:ilvl w:val="2"/>
          <w:numId w:val="1"/>
        </w:numPr>
      </w:pPr>
      <w:bookmarkStart w:id="6" w:name="_Toc497893544"/>
      <w:r w:rsidRPr="00374954">
        <w:t>Utvikling i befolkningen</w:t>
      </w:r>
      <w:r w:rsidR="00914B98">
        <w:t xml:space="preserve"> </w:t>
      </w:r>
      <w:r w:rsidRPr="00374954">
        <w:t xml:space="preserve">siste </w:t>
      </w:r>
      <w:r w:rsidR="002F30D9" w:rsidRPr="00374954">
        <w:t>8</w:t>
      </w:r>
      <w:r w:rsidRPr="00374954">
        <w:t xml:space="preserve"> år</w:t>
      </w:r>
      <w:bookmarkEnd w:id="6"/>
    </w:p>
    <w:p w:rsidR="004C1BD0" w:rsidRPr="00CF1D3B" w:rsidRDefault="004C1BD0" w:rsidP="004C1BD0">
      <w:pPr>
        <w:ind w:left="360"/>
      </w:pPr>
    </w:p>
    <w:p w:rsidR="0037600D" w:rsidRPr="00CF1D3B" w:rsidRDefault="004C1BD0" w:rsidP="004C1BD0">
      <w:pPr>
        <w:ind w:left="708"/>
      </w:pPr>
      <w:r w:rsidRPr="00CF1D3B">
        <w:t>Figuren under viser utviklingen i</w:t>
      </w:r>
      <w:r w:rsidR="009339A5" w:rsidRPr="00CF1D3B">
        <w:t xml:space="preserve"> folketallet de siste 8</w:t>
      </w:r>
      <w:r w:rsidR="0037600D" w:rsidRPr="00CF1D3B">
        <w:t xml:space="preserve"> årene med fordeling på de aldersgruppene som brukes i det kommunale inntektssystemet. Det er også tatt med tal</w:t>
      </w:r>
      <w:r w:rsidR="009A5339" w:rsidRPr="00CF1D3B">
        <w:t>l for gruppene barn og ungdom (</w:t>
      </w:r>
      <w:r w:rsidR="0037600D" w:rsidRPr="00CF1D3B">
        <w:t xml:space="preserve">0 – 15 år), </w:t>
      </w:r>
      <w:proofErr w:type="spellStart"/>
      <w:r w:rsidR="0037600D" w:rsidRPr="00CF1D3B">
        <w:t>vgs</w:t>
      </w:r>
      <w:proofErr w:type="spellEnd"/>
      <w:r w:rsidR="0037600D" w:rsidRPr="00CF1D3B">
        <w:t xml:space="preserve"> og arbeidsstyrken (16 – 66 år) og eldre (over 67 år). </w:t>
      </w:r>
      <w:r w:rsidR="001C6FE9" w:rsidRPr="00CF1D3B">
        <w:t>Figuren viser også endringer fra år til år i de ulike gruppene samt endringen fra 20</w:t>
      </w:r>
      <w:r w:rsidR="00EC2DFF">
        <w:t>10</w:t>
      </w:r>
      <w:r w:rsidR="001C6FE9" w:rsidRPr="00CF1D3B">
        <w:t xml:space="preserve"> som er første år i tabellen</w:t>
      </w:r>
    </w:p>
    <w:bookmarkStart w:id="7" w:name="_MON_1510924894"/>
    <w:bookmarkEnd w:id="7"/>
    <w:p w:rsidR="004C1BD0" w:rsidRDefault="00EC2DFF" w:rsidP="009A5339">
      <w:pPr>
        <w:ind w:left="708"/>
      </w:pPr>
      <w:r w:rsidRPr="00122A2A">
        <w:rPr>
          <w:i/>
        </w:rPr>
        <w:object w:dxaOrig="9350" w:dyaOrig="6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344.25pt" o:ole="">
            <v:imagedata r:id="rId14" o:title=""/>
          </v:shape>
          <o:OLEObject Type="Embed" ProgID="Excel.Sheet.8" ShapeID="_x0000_i1025" DrawAspect="Content" ObjectID="_1571635612" r:id="rId15"/>
        </w:object>
      </w:r>
      <w:r w:rsidR="009A5339" w:rsidRPr="00CF1D3B">
        <w:t xml:space="preserve">Som vi ser av oppsummeringen nederst i tabellen </w:t>
      </w:r>
      <w:r w:rsidR="002F30D9" w:rsidRPr="00CF1D3B">
        <w:t>er det</w:t>
      </w:r>
      <w:r w:rsidR="009744B9" w:rsidRPr="00CF1D3B">
        <w:t xml:space="preserve"> fremdeles</w:t>
      </w:r>
      <w:r w:rsidR="002F30D9" w:rsidRPr="00CF1D3B">
        <w:t xml:space="preserve"> kun </w:t>
      </w:r>
      <w:r w:rsidR="009A5339" w:rsidRPr="00CF1D3B">
        <w:t xml:space="preserve">gruppen over 67 år </w:t>
      </w:r>
      <w:r w:rsidR="002F30D9" w:rsidRPr="00CF1D3B">
        <w:t>som har en økning i perioden.</w:t>
      </w:r>
      <w:r w:rsidR="00374954">
        <w:t xml:space="preserve"> </w:t>
      </w:r>
    </w:p>
    <w:p w:rsidR="003732DF" w:rsidRDefault="003732DF" w:rsidP="009A5339">
      <w:pPr>
        <w:ind w:left="708"/>
      </w:pPr>
    </w:p>
    <w:p w:rsidR="00AF0B4B" w:rsidRDefault="00AF0B4B" w:rsidP="009A5339">
      <w:pPr>
        <w:ind w:left="708"/>
      </w:pPr>
    </w:p>
    <w:p w:rsidR="00AF0B4B" w:rsidRDefault="00AF0B4B" w:rsidP="009A5339">
      <w:pPr>
        <w:ind w:left="708"/>
      </w:pPr>
    </w:p>
    <w:p w:rsidR="00AF0B4B" w:rsidRDefault="00AF0B4B" w:rsidP="009A5339">
      <w:pPr>
        <w:ind w:left="708"/>
      </w:pPr>
    </w:p>
    <w:p w:rsidR="00AF0B4B" w:rsidRDefault="00AF0B4B" w:rsidP="009A5339">
      <w:pPr>
        <w:ind w:left="708"/>
      </w:pPr>
    </w:p>
    <w:p w:rsidR="00AF0B4B" w:rsidRDefault="00AF0B4B" w:rsidP="009A5339">
      <w:pPr>
        <w:ind w:left="708"/>
      </w:pPr>
    </w:p>
    <w:p w:rsidR="00AF0B4B" w:rsidRDefault="00AF0B4B" w:rsidP="009A5339">
      <w:pPr>
        <w:ind w:left="708"/>
      </w:pPr>
    </w:p>
    <w:p w:rsidR="00AF0B4B" w:rsidRDefault="00AF0B4B" w:rsidP="009A5339">
      <w:pPr>
        <w:ind w:left="708"/>
      </w:pPr>
    </w:p>
    <w:p w:rsidR="00AF0B4B" w:rsidRDefault="00AF0B4B" w:rsidP="009A5339">
      <w:pPr>
        <w:ind w:left="708"/>
      </w:pPr>
    </w:p>
    <w:p w:rsidR="00AF0B4B" w:rsidRPr="00CF1D3B" w:rsidRDefault="00AF0B4B" w:rsidP="009A5339">
      <w:pPr>
        <w:ind w:left="708"/>
      </w:pPr>
    </w:p>
    <w:p w:rsidR="004C1BD0" w:rsidRPr="00BE16E3" w:rsidRDefault="004C1BD0" w:rsidP="005A1903">
      <w:pPr>
        <w:pStyle w:val="Overskrift3"/>
        <w:numPr>
          <w:ilvl w:val="2"/>
          <w:numId w:val="1"/>
        </w:numPr>
      </w:pPr>
      <w:bookmarkStart w:id="8" w:name="_Toc497893545"/>
      <w:r w:rsidRPr="00BE16E3">
        <w:lastRenderedPageBreak/>
        <w:t>Prognose folketall for neste år og for økonomiplanperioden</w:t>
      </w:r>
      <w:bookmarkEnd w:id="8"/>
    </w:p>
    <w:p w:rsidR="004C1BD0" w:rsidRPr="00CF1D3B" w:rsidRDefault="004C1BD0" w:rsidP="004C1BD0">
      <w:pPr>
        <w:ind w:left="720"/>
      </w:pPr>
    </w:p>
    <w:p w:rsidR="004C1BD0" w:rsidRPr="00CF1D3B" w:rsidRDefault="004C1BD0" w:rsidP="00ED4C46">
      <w:pPr>
        <w:ind w:left="720"/>
      </w:pPr>
      <w:r w:rsidRPr="00CF1D3B">
        <w:t xml:space="preserve">Figuren under viser prognostisert utvikling i </w:t>
      </w:r>
      <w:r w:rsidR="00B3279B" w:rsidRPr="00CF1D3B">
        <w:t>befolkningens alderssammensetning og total folkemengde.</w:t>
      </w:r>
      <w:r w:rsidR="00074554" w:rsidRPr="00CF1D3B">
        <w:t xml:space="preserve"> </w:t>
      </w:r>
      <w:proofErr w:type="spellStart"/>
      <w:r w:rsidR="00E94334" w:rsidRPr="00CF1D3B">
        <w:t>Utgangsår</w:t>
      </w:r>
      <w:proofErr w:type="spellEnd"/>
      <w:r w:rsidR="00E94334" w:rsidRPr="00CF1D3B">
        <w:t xml:space="preserve"> er 201</w:t>
      </w:r>
      <w:r w:rsidR="00ED4C46">
        <w:t>7</w:t>
      </w:r>
      <w:r w:rsidR="00E57A89" w:rsidRPr="00CF1D3B">
        <w:t>.</w:t>
      </w:r>
    </w:p>
    <w:p w:rsidR="00074554" w:rsidRPr="00CF1D3B" w:rsidRDefault="00074554" w:rsidP="004C1BD0">
      <w:pPr>
        <w:ind w:left="720"/>
      </w:pPr>
    </w:p>
    <w:bookmarkStart w:id="9" w:name="_MON_1510926095"/>
    <w:bookmarkEnd w:id="9"/>
    <w:p w:rsidR="008C2423" w:rsidRDefault="00CB55A1" w:rsidP="001C6FE9">
      <w:pPr>
        <w:ind w:left="720"/>
        <w:rPr>
          <w:i/>
        </w:rPr>
      </w:pPr>
      <w:r w:rsidRPr="00122A2A">
        <w:rPr>
          <w:i/>
        </w:rPr>
        <w:object w:dxaOrig="8727" w:dyaOrig="7489">
          <v:shape id="_x0000_i1026" type="#_x0000_t75" style="width:435.75pt;height:358.5pt" o:ole="">
            <v:imagedata r:id="rId16" o:title=""/>
          </v:shape>
          <o:OLEObject Type="Embed" ProgID="Excel.Sheet.8" ShapeID="_x0000_i1026" DrawAspect="Content" ObjectID="_1571635613" r:id="rId17"/>
        </w:object>
      </w:r>
      <w:bookmarkEnd w:id="1"/>
      <w:bookmarkEnd w:id="2"/>
    </w:p>
    <w:p w:rsidR="00591D61" w:rsidRPr="00122A2A" w:rsidRDefault="00591D61" w:rsidP="001C6FE9">
      <w:pPr>
        <w:ind w:left="720"/>
        <w:rPr>
          <w:i/>
        </w:rPr>
      </w:pPr>
    </w:p>
    <w:p w:rsidR="004C1BD0" w:rsidRPr="00DE1509" w:rsidRDefault="004C1BD0" w:rsidP="005A1903">
      <w:pPr>
        <w:pStyle w:val="Overskrift2"/>
        <w:numPr>
          <w:ilvl w:val="1"/>
          <w:numId w:val="1"/>
        </w:numPr>
        <w:rPr>
          <w:i w:val="0"/>
        </w:rPr>
      </w:pPr>
      <w:bookmarkStart w:id="10" w:name="_Toc497893546"/>
      <w:r w:rsidRPr="00DE1509">
        <w:rPr>
          <w:i w:val="0"/>
        </w:rPr>
        <w:t>Frie inntekter</w:t>
      </w:r>
      <w:bookmarkEnd w:id="10"/>
    </w:p>
    <w:p w:rsidR="00246DA5" w:rsidRPr="007B1183" w:rsidRDefault="00074554" w:rsidP="00074554">
      <w:pPr>
        <w:ind w:left="360"/>
      </w:pPr>
      <w:r w:rsidRPr="007B1183">
        <w:t>Frie inntekter består av</w:t>
      </w:r>
      <w:r w:rsidR="001117E4" w:rsidRPr="007B1183">
        <w:t xml:space="preserve"> rammetilskudd, skatteinntekter</w:t>
      </w:r>
      <w:r w:rsidRPr="007B1183">
        <w:t>, eiendomsskatt</w:t>
      </w:r>
      <w:r w:rsidR="0061720C" w:rsidRPr="007B1183">
        <w:t xml:space="preserve">, </w:t>
      </w:r>
      <w:r w:rsidRPr="007B1183">
        <w:t xml:space="preserve">momskompensasjon og andre ikke øremerkede statlige tilskudd, og er hovedfinansieringskilden </w:t>
      </w:r>
      <w:r w:rsidR="00246DA5" w:rsidRPr="007B1183">
        <w:t xml:space="preserve">for driftsrammene. </w:t>
      </w:r>
    </w:p>
    <w:p w:rsidR="004C1BD0" w:rsidRPr="007E5383" w:rsidRDefault="00246DA5" w:rsidP="005A1903">
      <w:pPr>
        <w:pStyle w:val="Overskrift3"/>
        <w:numPr>
          <w:ilvl w:val="2"/>
          <w:numId w:val="1"/>
        </w:numPr>
      </w:pPr>
      <w:bookmarkStart w:id="11" w:name="_Toc497893547"/>
      <w:r w:rsidRPr="007E5383">
        <w:t>Skatt og rammetilskudd</w:t>
      </w:r>
      <w:bookmarkEnd w:id="11"/>
    </w:p>
    <w:p w:rsidR="00F07A2F" w:rsidRPr="007B1183" w:rsidRDefault="00246DA5" w:rsidP="00246DA5">
      <w:pPr>
        <w:ind w:left="720"/>
      </w:pPr>
      <w:r w:rsidRPr="007B1183">
        <w:t>Forslaget til statsbudsjett for 2</w:t>
      </w:r>
      <w:r w:rsidR="0061720C" w:rsidRPr="007B1183">
        <w:t>0</w:t>
      </w:r>
      <w:r w:rsidR="00C916F3" w:rsidRPr="007B1183">
        <w:t>1</w:t>
      </w:r>
      <w:r w:rsidR="00F77048">
        <w:t>8</w:t>
      </w:r>
      <w:r w:rsidRPr="007B1183">
        <w:t xml:space="preserve"> legger opp til en </w:t>
      </w:r>
      <w:r w:rsidR="00050E49">
        <w:t>real</w:t>
      </w:r>
      <w:r w:rsidRPr="007B1183">
        <w:t>vekst i kommunenes frie inntekter</w:t>
      </w:r>
      <w:r w:rsidR="00F07A2F" w:rsidRPr="007B1183">
        <w:t xml:space="preserve"> – skatt og rammetilskudd - </w:t>
      </w:r>
      <w:r w:rsidRPr="007B1183">
        <w:t xml:space="preserve"> på</w:t>
      </w:r>
      <w:r w:rsidR="0061720C" w:rsidRPr="007B1183">
        <w:t xml:space="preserve"> </w:t>
      </w:r>
      <w:r w:rsidR="00F77048">
        <w:t>4,6</w:t>
      </w:r>
      <w:r w:rsidR="00060CD1">
        <w:t xml:space="preserve"> mrd. A</w:t>
      </w:r>
      <w:r w:rsidRPr="007B1183">
        <w:t xml:space="preserve">nslått pris- og kostnadsvekst (kommunal </w:t>
      </w:r>
      <w:proofErr w:type="spellStart"/>
      <w:r w:rsidRPr="007B1183">
        <w:t>deflator</w:t>
      </w:r>
      <w:proofErr w:type="spellEnd"/>
      <w:r w:rsidRPr="007B1183">
        <w:t xml:space="preserve">) </w:t>
      </w:r>
      <w:r w:rsidR="00060CD1">
        <w:t xml:space="preserve">er </w:t>
      </w:r>
      <w:r w:rsidRPr="007B1183">
        <w:t>på</w:t>
      </w:r>
      <w:r w:rsidR="00383CB3" w:rsidRPr="007B1183">
        <w:t xml:space="preserve"> </w:t>
      </w:r>
      <w:r w:rsidR="00F77048">
        <w:t>2,3</w:t>
      </w:r>
      <w:r w:rsidRPr="00050E49">
        <w:rPr>
          <w:color w:val="FF0000"/>
        </w:rPr>
        <w:t xml:space="preserve"> </w:t>
      </w:r>
      <w:r w:rsidRPr="00050E49">
        <w:t>prosent</w:t>
      </w:r>
      <w:r w:rsidR="00380B26" w:rsidRPr="007B1183">
        <w:t>.</w:t>
      </w:r>
      <w:r w:rsidR="008B00F9" w:rsidRPr="007B1183">
        <w:t xml:space="preserve"> </w:t>
      </w:r>
    </w:p>
    <w:p w:rsidR="008B00F9" w:rsidRPr="007B1183" w:rsidRDefault="008B00F9" w:rsidP="00246DA5">
      <w:pPr>
        <w:ind w:left="720"/>
      </w:pPr>
    </w:p>
    <w:p w:rsidR="008E5A1C" w:rsidRDefault="00DA4689" w:rsidP="00246DA5">
      <w:pPr>
        <w:ind w:left="720"/>
      </w:pPr>
      <w:r w:rsidRPr="007B1183">
        <w:t>For</w:t>
      </w:r>
      <w:r w:rsidR="0061720C" w:rsidRPr="007B1183">
        <w:t xml:space="preserve"> Skjervøy</w:t>
      </w:r>
      <w:r w:rsidRPr="007B1183">
        <w:t xml:space="preserve"> kommune innebærer forslage</w:t>
      </w:r>
      <w:r w:rsidR="001E51CB" w:rsidRPr="007B1183">
        <w:t xml:space="preserve">t til statsbudsjett </w:t>
      </w:r>
      <w:r w:rsidR="00B321DD" w:rsidRPr="007B1183">
        <w:t xml:space="preserve">at </w:t>
      </w:r>
      <w:r w:rsidR="00E616C9">
        <w:t>vi</w:t>
      </w:r>
      <w:r w:rsidR="00B321DD" w:rsidRPr="007B1183">
        <w:t xml:space="preserve"> får en real</w:t>
      </w:r>
      <w:r w:rsidR="00783F92">
        <w:t>nedgang</w:t>
      </w:r>
      <w:r w:rsidR="00F77048">
        <w:t xml:space="preserve"> med 0</w:t>
      </w:r>
      <w:r w:rsidR="00C10610">
        <w:t>,</w:t>
      </w:r>
      <w:r w:rsidR="00F77048">
        <w:t>6</w:t>
      </w:r>
      <w:r w:rsidR="00E616C9">
        <w:t>%</w:t>
      </w:r>
      <w:r w:rsidR="00B321DD" w:rsidRPr="007B1183">
        <w:t>.</w:t>
      </w:r>
      <w:r w:rsidR="00F77048">
        <w:t xml:space="preserve"> Dette gjør oss til den 7 beste i</w:t>
      </w:r>
      <w:r w:rsidR="00CE41F0">
        <w:t xml:space="preserve"> Troms fylke.</w:t>
      </w:r>
      <w:r w:rsidR="00E616C9">
        <w:t xml:space="preserve"> </w:t>
      </w:r>
      <w:r w:rsidR="00F77048">
        <w:t>Vi ligger a</w:t>
      </w:r>
      <w:r w:rsidR="00B321DD" w:rsidRPr="007B1183">
        <w:t xml:space="preserve">ltså </w:t>
      </w:r>
      <w:r w:rsidR="00F77048">
        <w:t>tålig bra an</w:t>
      </w:r>
      <w:r w:rsidR="00B321DD" w:rsidRPr="007B1183">
        <w:t xml:space="preserve"> før vi </w:t>
      </w:r>
      <w:r w:rsidR="00E67CD4" w:rsidRPr="007B1183">
        <w:t>legger inn nødvendige midler for å videreføre da</w:t>
      </w:r>
      <w:r w:rsidR="00D67DAF" w:rsidRPr="007B1183">
        <w:t>gens drift</w:t>
      </w:r>
      <w:r w:rsidR="00B321DD" w:rsidRPr="007B1183">
        <w:t>. Det blir d</w:t>
      </w:r>
      <w:r w:rsidR="00F77048">
        <w:t xml:space="preserve">erimot </w:t>
      </w:r>
      <w:r w:rsidR="00D67DAF" w:rsidRPr="007B1183">
        <w:t>heller ikke denne gang</w:t>
      </w:r>
      <w:r w:rsidR="00B321DD" w:rsidRPr="007B1183">
        <w:t>en rom for å kompensere</w:t>
      </w:r>
      <w:r w:rsidR="00D67DAF" w:rsidRPr="007B1183">
        <w:t xml:space="preserve"> for</w:t>
      </w:r>
      <w:r w:rsidR="001E51CB" w:rsidRPr="007B1183">
        <w:t xml:space="preserve"> prisstigning på varer og tjenester.</w:t>
      </w:r>
      <w:r w:rsidR="00E616C9">
        <w:t xml:space="preserve"> </w:t>
      </w:r>
    </w:p>
    <w:p w:rsidR="00060CD1" w:rsidRDefault="00060CD1" w:rsidP="00246DA5">
      <w:pPr>
        <w:ind w:left="720"/>
      </w:pPr>
    </w:p>
    <w:p w:rsidR="00212379" w:rsidRDefault="008E5A1C" w:rsidP="00246DA5">
      <w:pPr>
        <w:ind w:left="720"/>
      </w:pPr>
      <w:r>
        <w:t>Rådmannens budsjettforslag er fullt ut basert på regjeringen</w:t>
      </w:r>
      <w:r w:rsidR="00C10610">
        <w:t>s</w:t>
      </w:r>
      <w:r>
        <w:t xml:space="preserve"> forslag til statsbudsjett. </w:t>
      </w:r>
    </w:p>
    <w:p w:rsidR="00C10610" w:rsidRPr="007B1183" w:rsidRDefault="00C10610" w:rsidP="00246DA5">
      <w:pPr>
        <w:ind w:left="720"/>
      </w:pPr>
    </w:p>
    <w:p w:rsidR="00B95234" w:rsidRDefault="00586280" w:rsidP="00246DA5">
      <w:pPr>
        <w:ind w:left="720"/>
      </w:pPr>
      <w:r w:rsidRPr="008448B9">
        <w:lastRenderedPageBreak/>
        <w:t xml:space="preserve">Enkeltelementene </w:t>
      </w:r>
      <w:r w:rsidR="00D67DAF" w:rsidRPr="008448B9">
        <w:t>i skatt og rammetilskudd for 201</w:t>
      </w:r>
      <w:r w:rsidR="00CF6AEA">
        <w:t>7</w:t>
      </w:r>
      <w:r w:rsidR="00B10E95" w:rsidRPr="008448B9">
        <w:t xml:space="preserve"> og i økonomiplanperioden</w:t>
      </w:r>
      <w:r w:rsidRPr="008448B9">
        <w:rPr>
          <w:color w:val="FF0000"/>
        </w:rPr>
        <w:t xml:space="preserve"> </w:t>
      </w:r>
      <w:r w:rsidRPr="008448B9">
        <w:t xml:space="preserve">framkommer i tabellen nedenfor. </w:t>
      </w:r>
    </w:p>
    <w:bookmarkStart w:id="12" w:name="_MON_1510926908"/>
    <w:bookmarkEnd w:id="12"/>
    <w:p w:rsidR="00DC0639" w:rsidRPr="00F67260" w:rsidRDefault="003964AE" w:rsidP="005E32F3">
      <w:pPr>
        <w:ind w:left="720"/>
      </w:pPr>
      <w:r w:rsidRPr="00122A2A">
        <w:rPr>
          <w:i/>
        </w:rPr>
        <w:object w:dxaOrig="8104" w:dyaOrig="3822">
          <v:shape id="_x0000_i1028" type="#_x0000_t75" style="width:428.25pt;height:207.75pt" o:ole="">
            <v:imagedata r:id="rId18" o:title=""/>
          </v:shape>
          <o:OLEObject Type="Embed" ProgID="Excel.Sheet.8" ShapeID="_x0000_i1028" DrawAspect="Content" ObjectID="_1571635614" r:id="rId19"/>
        </w:object>
      </w:r>
    </w:p>
    <w:p w:rsidR="008929F3" w:rsidRPr="00B23BF7" w:rsidRDefault="008929F3" w:rsidP="005A1903">
      <w:pPr>
        <w:pStyle w:val="Overskrift3"/>
        <w:numPr>
          <w:ilvl w:val="2"/>
          <w:numId w:val="1"/>
        </w:numPr>
      </w:pPr>
      <w:bookmarkStart w:id="13" w:name="_Toc497893548"/>
      <w:r w:rsidRPr="00B23BF7">
        <w:t>Eiendomsskatt</w:t>
      </w:r>
      <w:bookmarkEnd w:id="13"/>
    </w:p>
    <w:p w:rsidR="00212379" w:rsidRPr="00F67260" w:rsidRDefault="00212379" w:rsidP="00DA3C4A">
      <w:pPr>
        <w:ind w:left="720"/>
        <w:rPr>
          <w:color w:val="FF0000"/>
        </w:rPr>
      </w:pPr>
    </w:p>
    <w:p w:rsidR="00B620BC" w:rsidRDefault="002A591C" w:rsidP="00DA3C4A">
      <w:pPr>
        <w:ind w:left="720"/>
      </w:pPr>
      <w:r w:rsidRPr="00F67260">
        <w:t>Eiendomsskatt har siden 2007 væ</w:t>
      </w:r>
      <w:r w:rsidR="002E5E02">
        <w:t>rt innkrevd i hele kommunen og videreføres med en</w:t>
      </w:r>
      <w:r w:rsidRPr="00F67260">
        <w:t xml:space="preserve"> skattesats på 7 promille for alle eiendomstyper i hele perioden. </w:t>
      </w:r>
      <w:r w:rsidR="00C42FF0">
        <w:t>Eiendomskattetaksten står i 10 år, og det må i løpet av det tiende året tas ny takst, eventuelt kontorjuster</w:t>
      </w:r>
      <w:r w:rsidR="00EE1594">
        <w:t>ing. Skjervøy kommune valgte</w:t>
      </w:r>
      <w:r w:rsidR="00C42FF0">
        <w:t xml:space="preserve"> å </w:t>
      </w:r>
      <w:proofErr w:type="spellStart"/>
      <w:r w:rsidR="00C42FF0">
        <w:t>kontorjustere</w:t>
      </w:r>
      <w:proofErr w:type="spellEnd"/>
      <w:r w:rsidR="00C42FF0">
        <w:t xml:space="preserve"> </w:t>
      </w:r>
      <w:r w:rsidR="002E5E02">
        <w:t>grunnlaget med 10 %, gjeldende fra 2017.</w:t>
      </w:r>
      <w:r w:rsidR="00C42FF0">
        <w:t xml:space="preserve"> </w:t>
      </w:r>
      <w:r w:rsidR="00597FC1">
        <w:t>I rå</w:t>
      </w:r>
      <w:r w:rsidR="00D62A57">
        <w:t>dmannens forslag ligger det</w:t>
      </w:r>
      <w:r w:rsidR="00597FC1">
        <w:t xml:space="preserve"> inne å </w:t>
      </w:r>
      <w:proofErr w:type="spellStart"/>
      <w:r w:rsidR="00597FC1">
        <w:t>kontorjustere</w:t>
      </w:r>
      <w:proofErr w:type="spellEnd"/>
      <w:r w:rsidR="00597FC1">
        <w:t xml:space="preserve"> grunnlaget med 10 % også for 2018.</w:t>
      </w:r>
    </w:p>
    <w:p w:rsidR="00FD181E" w:rsidRPr="00F67260" w:rsidRDefault="00FD181E" w:rsidP="00DA3C4A">
      <w:pPr>
        <w:ind w:left="720"/>
      </w:pPr>
    </w:p>
    <w:p w:rsidR="008929F3" w:rsidRPr="00906B07" w:rsidRDefault="008929F3" w:rsidP="005A1903">
      <w:pPr>
        <w:pStyle w:val="Overskrift3"/>
        <w:numPr>
          <w:ilvl w:val="2"/>
          <w:numId w:val="1"/>
        </w:numPr>
      </w:pPr>
      <w:bookmarkStart w:id="14" w:name="_Toc143582930"/>
      <w:bookmarkStart w:id="15" w:name="_Toc497893549"/>
      <w:r w:rsidRPr="00906B07">
        <w:t>Momskompensasjon</w:t>
      </w:r>
      <w:bookmarkEnd w:id="14"/>
      <w:bookmarkEnd w:id="15"/>
    </w:p>
    <w:p w:rsidR="00B42ACF" w:rsidRPr="00B50AAA" w:rsidRDefault="00B42ACF" w:rsidP="00B42ACF">
      <w:pPr>
        <w:ind w:left="720"/>
      </w:pPr>
    </w:p>
    <w:p w:rsidR="00906B07" w:rsidRDefault="003A0B8A" w:rsidP="00B42ACF">
      <w:pPr>
        <w:ind w:left="720"/>
      </w:pPr>
      <w:r>
        <w:t>Skjervøy kommune får momskompensasjon på en rekke varer og tjenester.</w:t>
      </w:r>
    </w:p>
    <w:p w:rsidR="00906B07" w:rsidRDefault="00906B07" w:rsidP="00B42ACF">
      <w:pPr>
        <w:ind w:left="720"/>
      </w:pPr>
    </w:p>
    <w:p w:rsidR="00E05B68" w:rsidRPr="00DE1509" w:rsidRDefault="008929F3" w:rsidP="005A1903">
      <w:pPr>
        <w:pStyle w:val="Overskrift3"/>
        <w:numPr>
          <w:ilvl w:val="2"/>
          <w:numId w:val="1"/>
        </w:numPr>
      </w:pPr>
      <w:bookmarkStart w:id="16" w:name="_Toc497893550"/>
      <w:r w:rsidRPr="00DE1509">
        <w:t>Rentekompensasjon for investeringer</w:t>
      </w:r>
      <w:bookmarkEnd w:id="16"/>
    </w:p>
    <w:p w:rsidR="00657499" w:rsidRPr="008A103B" w:rsidRDefault="00657499" w:rsidP="00657499"/>
    <w:p w:rsidR="00E05B68" w:rsidRPr="008A103B" w:rsidRDefault="00E05B68" w:rsidP="00246DA5">
      <w:pPr>
        <w:ind w:left="1080"/>
      </w:pPr>
      <w:r w:rsidRPr="008A103B">
        <w:t xml:space="preserve">I forbindelse med en del statlige reformer er det gitt tilskudd til dekning av kommunens utgifter til investering. Dette gis som en årlig kompensasjon for antatte renteutgifter. Ordningen administreres av Husbanken og det er gitt egne regler for den enkelte ordning. Felles er at det er en rentesats tilnærmet lik husbankrenten som benyttes. I økonomiplanen er denne lagt på </w:t>
      </w:r>
      <w:r w:rsidR="00C42FF0">
        <w:t>2</w:t>
      </w:r>
      <w:r w:rsidRPr="008A103B">
        <w:t xml:space="preserve"> % </w:t>
      </w:r>
      <w:r w:rsidR="0017693D" w:rsidRPr="008A103B">
        <w:t>basert på samme prognose vi bruker på lån vi har i Husbanken</w:t>
      </w:r>
      <w:r w:rsidRPr="008A103B">
        <w:t xml:space="preserve">. Nedenfor gis en oversikt over hvilke ordninger vi er med på. Totalt er det beregnet at vi får </w:t>
      </w:r>
      <w:r w:rsidR="00723E29" w:rsidRPr="008A103B">
        <w:t>mellom 1,</w:t>
      </w:r>
      <w:r w:rsidR="00EE1594">
        <w:t>2</w:t>
      </w:r>
      <w:r w:rsidR="00723E29" w:rsidRPr="008A103B">
        <w:t xml:space="preserve"> og</w:t>
      </w:r>
      <w:r w:rsidR="00EE1594">
        <w:t>1,5</w:t>
      </w:r>
      <w:r w:rsidRPr="008A103B">
        <w:t xml:space="preserve"> </w:t>
      </w:r>
      <w:proofErr w:type="spellStart"/>
      <w:r w:rsidRPr="008A103B">
        <w:t>mill</w:t>
      </w:r>
      <w:proofErr w:type="spellEnd"/>
      <w:r w:rsidRPr="008A103B">
        <w:t xml:space="preserve"> </w:t>
      </w:r>
      <w:r w:rsidR="00EE1594">
        <w:t xml:space="preserve">hvert år </w:t>
      </w:r>
      <w:r w:rsidRPr="008A103B">
        <w:t>i</w:t>
      </w:r>
      <w:r w:rsidR="00723E29" w:rsidRPr="008A103B">
        <w:t xml:space="preserve"> planperioden.</w:t>
      </w:r>
    </w:p>
    <w:p w:rsidR="00DD4163" w:rsidRPr="008A103B" w:rsidRDefault="00DD4163" w:rsidP="00246DA5">
      <w:pPr>
        <w:ind w:left="1080"/>
      </w:pPr>
    </w:p>
    <w:p w:rsidR="00E05B68" w:rsidRPr="00CF7396" w:rsidRDefault="00246DA5" w:rsidP="00246DA5">
      <w:pPr>
        <w:ind w:left="1080"/>
        <w:rPr>
          <w:color w:val="FF0000"/>
        </w:rPr>
      </w:pPr>
      <w:r w:rsidRPr="00CF7396">
        <w:rPr>
          <w:u w:val="single"/>
        </w:rPr>
        <w:t>Skole</w:t>
      </w:r>
      <w:r w:rsidR="008929F3" w:rsidRPr="00CF7396">
        <w:t xml:space="preserve"> </w:t>
      </w:r>
    </w:p>
    <w:p w:rsidR="008A103B" w:rsidRPr="00CF7396" w:rsidRDefault="00E05B68" w:rsidP="00246DA5">
      <w:pPr>
        <w:ind w:left="1080"/>
      </w:pPr>
      <w:r w:rsidRPr="00CF7396">
        <w:t xml:space="preserve">Totalt fikk vi i perioden 2001 – 2005 </w:t>
      </w:r>
      <w:r w:rsidR="00E225A3" w:rsidRPr="00CF7396">
        <w:t xml:space="preserve">en låneramme på 10,1 </w:t>
      </w:r>
      <w:proofErr w:type="spellStart"/>
      <w:r w:rsidR="00E225A3" w:rsidRPr="00CF7396">
        <w:t>mill</w:t>
      </w:r>
      <w:proofErr w:type="spellEnd"/>
      <w:r w:rsidR="00E225A3" w:rsidRPr="00CF7396">
        <w:t xml:space="preserve"> til oppussing av skolebygg. Midlene ble i hovedsak brukt til utbygging av barneskolen og oppgradering av Arnøyhamn skole. </w:t>
      </w:r>
      <w:r w:rsidR="002A591C" w:rsidRPr="00CF7396">
        <w:t>O</w:t>
      </w:r>
      <w:r w:rsidR="00E225A3" w:rsidRPr="00CF7396">
        <w:t>rdningen varer til 2029</w:t>
      </w:r>
      <w:r w:rsidR="0017693D" w:rsidRPr="00CF7396">
        <w:t xml:space="preserve">. </w:t>
      </w:r>
    </w:p>
    <w:p w:rsidR="008A103B" w:rsidRPr="00F42A34" w:rsidRDefault="008A103B" w:rsidP="00246DA5">
      <w:pPr>
        <w:ind w:left="1080"/>
        <w:rPr>
          <w:highlight w:val="yellow"/>
        </w:rPr>
      </w:pPr>
    </w:p>
    <w:p w:rsidR="00E225A3" w:rsidRPr="00CF7396" w:rsidRDefault="00246DA5" w:rsidP="00246DA5">
      <w:pPr>
        <w:ind w:left="1080"/>
        <w:rPr>
          <w:u w:val="single"/>
        </w:rPr>
      </w:pPr>
      <w:r w:rsidRPr="00CF7396">
        <w:rPr>
          <w:u w:val="single"/>
        </w:rPr>
        <w:t>Eldreomsorg</w:t>
      </w:r>
    </w:p>
    <w:p w:rsidR="00246DA5" w:rsidRPr="00CF7396" w:rsidRDefault="00E225A3" w:rsidP="00246DA5">
      <w:pPr>
        <w:ind w:left="1080"/>
      </w:pPr>
      <w:r w:rsidRPr="00CF7396">
        <w:lastRenderedPageBreak/>
        <w:t xml:space="preserve">Ved byggingen av helsesenteret fikk vi i 2000 tilskudd til 33 </w:t>
      </w:r>
      <w:proofErr w:type="spellStart"/>
      <w:r w:rsidRPr="00CF7396">
        <w:t>sykehjemsrom</w:t>
      </w:r>
      <w:proofErr w:type="spellEnd"/>
      <w:r w:rsidRPr="00CF7396">
        <w:t xml:space="preserve"> og 12 omsorgsboliger. I direkte tilskudd fikk vi utbetalt 14,5 </w:t>
      </w:r>
      <w:proofErr w:type="spellStart"/>
      <w:r w:rsidRPr="00CF7396">
        <w:t>mill</w:t>
      </w:r>
      <w:proofErr w:type="spellEnd"/>
      <w:r w:rsidRPr="00CF7396">
        <w:t xml:space="preserve"> og så ble det gitt knappe 22 </w:t>
      </w:r>
      <w:proofErr w:type="spellStart"/>
      <w:r w:rsidRPr="00CF7396">
        <w:t>mill</w:t>
      </w:r>
      <w:proofErr w:type="spellEnd"/>
      <w:r w:rsidRPr="00CF7396">
        <w:t xml:space="preserve"> som grunnlag for rentekompensasjon. </w:t>
      </w:r>
      <w:r w:rsidR="002A591C" w:rsidRPr="00CF7396">
        <w:t>O</w:t>
      </w:r>
      <w:r w:rsidRPr="00CF7396">
        <w:t>rdningen varer til 2029.</w:t>
      </w:r>
    </w:p>
    <w:p w:rsidR="00E225A3" w:rsidRPr="00F42A34" w:rsidRDefault="00E225A3" w:rsidP="00246DA5">
      <w:pPr>
        <w:ind w:left="1080"/>
        <w:rPr>
          <w:color w:val="FF0000"/>
          <w:highlight w:val="yellow"/>
        </w:rPr>
      </w:pPr>
    </w:p>
    <w:p w:rsidR="00E225A3" w:rsidRPr="00CF7396" w:rsidRDefault="00E225A3" w:rsidP="00E225A3">
      <w:pPr>
        <w:ind w:left="1080"/>
        <w:rPr>
          <w:u w:val="single"/>
        </w:rPr>
      </w:pPr>
      <w:r w:rsidRPr="00CF7396">
        <w:rPr>
          <w:u w:val="single"/>
        </w:rPr>
        <w:t>Psykiatri</w:t>
      </w:r>
    </w:p>
    <w:p w:rsidR="00E225A3" w:rsidRPr="00CF7396" w:rsidRDefault="00E225A3" w:rsidP="00E225A3">
      <w:pPr>
        <w:ind w:left="1080"/>
      </w:pPr>
      <w:r w:rsidRPr="00CF7396">
        <w:t xml:space="preserve">I forbindelse med etablering av psykiatriboliger i 2001 ble det etter samme mal som for helsesenteret gitt 1,2 </w:t>
      </w:r>
      <w:proofErr w:type="spellStart"/>
      <w:r w:rsidRPr="00CF7396">
        <w:t>mill</w:t>
      </w:r>
      <w:proofErr w:type="spellEnd"/>
      <w:r w:rsidRPr="00CF7396">
        <w:t xml:space="preserve"> i direkte tilskudd og 4 </w:t>
      </w:r>
      <w:proofErr w:type="spellStart"/>
      <w:r w:rsidRPr="00CF7396">
        <w:t>mill</w:t>
      </w:r>
      <w:proofErr w:type="spellEnd"/>
      <w:r w:rsidRPr="00CF7396">
        <w:t xml:space="preserve"> i rentegrunnlag for 7 omsorgsboliger. Ordningen </w:t>
      </w:r>
      <w:r w:rsidR="002A591C" w:rsidRPr="00CF7396">
        <w:t>v</w:t>
      </w:r>
      <w:r w:rsidRPr="00CF7396">
        <w:t>arer til 2030.</w:t>
      </w:r>
    </w:p>
    <w:p w:rsidR="00E225A3" w:rsidRPr="00F42A34" w:rsidRDefault="00E225A3" w:rsidP="00E225A3">
      <w:pPr>
        <w:ind w:left="1080"/>
        <w:rPr>
          <w:highlight w:val="yellow"/>
        </w:rPr>
      </w:pPr>
    </w:p>
    <w:p w:rsidR="00E225A3" w:rsidRPr="00CF7396" w:rsidRDefault="0014525E" w:rsidP="0014525E">
      <w:pPr>
        <w:ind w:left="1080"/>
        <w:rPr>
          <w:u w:val="single"/>
        </w:rPr>
      </w:pPr>
      <w:r w:rsidRPr="00CF7396">
        <w:rPr>
          <w:u w:val="single"/>
        </w:rPr>
        <w:t>Kirker</w:t>
      </w:r>
    </w:p>
    <w:p w:rsidR="00E225A3" w:rsidRPr="008A103B" w:rsidRDefault="00E225A3" w:rsidP="0014525E">
      <w:pPr>
        <w:ind w:left="1080"/>
      </w:pPr>
      <w:r w:rsidRPr="00CF7396">
        <w:t xml:space="preserve">I 2007 </w:t>
      </w:r>
      <w:r w:rsidR="001541BF" w:rsidRPr="00CF7396">
        <w:t xml:space="preserve">ble </w:t>
      </w:r>
      <w:r w:rsidRPr="00CF7396">
        <w:t>oppussingen av Skjervøy kirke</w:t>
      </w:r>
      <w:r w:rsidR="001541BF" w:rsidRPr="00CF7396">
        <w:t xml:space="preserve"> avsluttet</w:t>
      </w:r>
      <w:r w:rsidRPr="00CF7396">
        <w:t>.</w:t>
      </w:r>
      <w:r w:rsidR="001541BF" w:rsidRPr="00CF7396">
        <w:t xml:space="preserve"> D</w:t>
      </w:r>
      <w:r w:rsidRPr="00CF7396">
        <w:t>et gi</w:t>
      </w:r>
      <w:r w:rsidR="001541BF" w:rsidRPr="00CF7396">
        <w:t>s</w:t>
      </w:r>
      <w:r w:rsidRPr="00CF7396">
        <w:t xml:space="preserve"> </w:t>
      </w:r>
      <w:r w:rsidR="001541BF" w:rsidRPr="00CF7396">
        <w:t>r</w:t>
      </w:r>
      <w:r w:rsidRPr="00CF7396">
        <w:t>entekompensasjon for</w:t>
      </w:r>
      <w:r w:rsidR="001541BF" w:rsidRPr="00CF7396">
        <w:t xml:space="preserve"> vel </w:t>
      </w:r>
      <w:r w:rsidRPr="00CF7396">
        <w:t xml:space="preserve">3,2 mill. </w:t>
      </w:r>
      <w:r w:rsidR="002A591C" w:rsidRPr="00CF7396">
        <w:t>Ordningen</w:t>
      </w:r>
      <w:r w:rsidRPr="00CF7396">
        <w:t xml:space="preserve"> varer til 2027.</w:t>
      </w:r>
    </w:p>
    <w:p w:rsidR="00C5338A" w:rsidRPr="00122A2A" w:rsidRDefault="00C5338A" w:rsidP="0014525E">
      <w:pPr>
        <w:ind w:left="1080"/>
        <w:rPr>
          <w:i/>
        </w:rPr>
      </w:pPr>
    </w:p>
    <w:p w:rsidR="00DD4163" w:rsidRPr="00164D02" w:rsidRDefault="00DD4163" w:rsidP="008929F3">
      <w:pPr>
        <w:ind w:left="360"/>
        <w:rPr>
          <w:color w:val="FF0000"/>
        </w:rPr>
      </w:pPr>
    </w:p>
    <w:p w:rsidR="008929F3" w:rsidRPr="00293D0C" w:rsidRDefault="008929F3" w:rsidP="005A1903">
      <w:pPr>
        <w:pStyle w:val="Overskrift2"/>
        <w:numPr>
          <w:ilvl w:val="1"/>
          <w:numId w:val="1"/>
        </w:numPr>
        <w:rPr>
          <w:i w:val="0"/>
        </w:rPr>
      </w:pPr>
      <w:bookmarkStart w:id="17" w:name="_Toc497893551"/>
      <w:r w:rsidRPr="00293D0C">
        <w:rPr>
          <w:i w:val="0"/>
        </w:rPr>
        <w:t>Lønns- og prisvekst, endringer i pensjonsutgiftene</w:t>
      </w:r>
      <w:bookmarkEnd w:id="17"/>
    </w:p>
    <w:p w:rsidR="008929F3" w:rsidRPr="00164D02" w:rsidRDefault="008929F3" w:rsidP="008929F3">
      <w:pPr>
        <w:ind w:left="360"/>
      </w:pPr>
    </w:p>
    <w:p w:rsidR="002571B8" w:rsidRPr="00164D02" w:rsidRDefault="002571B8" w:rsidP="008929F3">
      <w:pPr>
        <w:ind w:left="360"/>
        <w:rPr>
          <w:u w:val="single"/>
        </w:rPr>
      </w:pPr>
      <w:r w:rsidRPr="00164D02">
        <w:rPr>
          <w:u w:val="single"/>
        </w:rPr>
        <w:t>Lønns- og prisvekst</w:t>
      </w:r>
    </w:p>
    <w:p w:rsidR="002571B8" w:rsidRPr="00164D02" w:rsidRDefault="00A447A8" w:rsidP="008929F3">
      <w:pPr>
        <w:ind w:left="360"/>
      </w:pPr>
      <w:r w:rsidRPr="00164D02">
        <w:t xml:space="preserve">I statsbudsjettet anslås prisveksten for </w:t>
      </w:r>
      <w:r w:rsidR="009B4676" w:rsidRPr="00164D02">
        <w:t>kommunale varer og tjenester</w:t>
      </w:r>
      <w:r w:rsidRPr="00164D02">
        <w:t xml:space="preserve"> (kommunal </w:t>
      </w:r>
      <w:proofErr w:type="spellStart"/>
      <w:r w:rsidRPr="00164D02">
        <w:t>deflator</w:t>
      </w:r>
      <w:proofErr w:type="spellEnd"/>
      <w:r w:rsidRPr="00164D02">
        <w:t>)</w:t>
      </w:r>
      <w:r w:rsidR="009B4676" w:rsidRPr="00164D02">
        <w:t xml:space="preserve"> fra </w:t>
      </w:r>
      <w:r w:rsidR="009B4676" w:rsidRPr="00CF7396">
        <w:t>20</w:t>
      </w:r>
      <w:r w:rsidR="00822EB6" w:rsidRPr="00CF7396">
        <w:t>1</w:t>
      </w:r>
      <w:r w:rsidR="00641620">
        <w:t>7</w:t>
      </w:r>
      <w:r w:rsidR="009B4676" w:rsidRPr="00CF7396">
        <w:t xml:space="preserve"> </w:t>
      </w:r>
      <w:r w:rsidR="00147413" w:rsidRPr="00CF7396">
        <w:t>–</w:t>
      </w:r>
      <w:r w:rsidR="009B4676" w:rsidRPr="00CF7396">
        <w:t xml:space="preserve"> 20</w:t>
      </w:r>
      <w:r w:rsidR="00A35D37" w:rsidRPr="00CF7396">
        <w:t>1</w:t>
      </w:r>
      <w:r w:rsidR="00641620">
        <w:t>8</w:t>
      </w:r>
      <w:r w:rsidRPr="00CF7396">
        <w:t xml:space="preserve"> til</w:t>
      </w:r>
      <w:r w:rsidR="0058735B" w:rsidRPr="00CF7396">
        <w:t xml:space="preserve"> </w:t>
      </w:r>
      <w:r w:rsidR="00CE41F0">
        <w:t>2,</w:t>
      </w:r>
      <w:r w:rsidR="00641620">
        <w:t>3</w:t>
      </w:r>
      <w:r w:rsidRPr="00CF7396">
        <w:t xml:space="preserve"> prosent.</w:t>
      </w:r>
      <w:r w:rsidRPr="00164D02">
        <w:t xml:space="preserve"> </w:t>
      </w:r>
      <w:r w:rsidR="002571B8" w:rsidRPr="00164D02">
        <w:t>K</w:t>
      </w:r>
      <w:r w:rsidR="009B4676" w:rsidRPr="00164D02">
        <w:t xml:space="preserve">ommunenes lønns- og prisvekst kompenseres ved å </w:t>
      </w:r>
      <w:r w:rsidR="002571B8" w:rsidRPr="00164D02">
        <w:t xml:space="preserve">øke rammetilskuddet med den kommunale </w:t>
      </w:r>
      <w:proofErr w:type="spellStart"/>
      <w:r w:rsidR="002571B8" w:rsidRPr="00164D02">
        <w:t>deflatoren</w:t>
      </w:r>
      <w:proofErr w:type="spellEnd"/>
      <w:r w:rsidR="002571B8" w:rsidRPr="00164D02">
        <w:t>.</w:t>
      </w:r>
      <w:r w:rsidR="009B4676" w:rsidRPr="00164D02">
        <w:t xml:space="preserve"> </w:t>
      </w:r>
    </w:p>
    <w:p w:rsidR="00CE2924" w:rsidRDefault="009B4676" w:rsidP="00C42FF0">
      <w:r w:rsidRPr="00164D02">
        <w:t xml:space="preserve"> </w:t>
      </w:r>
      <w:r w:rsidR="00A447A8" w:rsidRPr="00164D02">
        <w:t xml:space="preserve"> </w:t>
      </w:r>
    </w:p>
    <w:p w:rsidR="00742DCB" w:rsidRPr="00164D02" w:rsidRDefault="00742DCB" w:rsidP="008929F3">
      <w:pPr>
        <w:ind w:left="360"/>
      </w:pPr>
    </w:p>
    <w:p w:rsidR="008929F3" w:rsidRPr="00164D02" w:rsidRDefault="002571B8" w:rsidP="008929F3">
      <w:pPr>
        <w:ind w:left="360"/>
        <w:rPr>
          <w:u w:val="single"/>
        </w:rPr>
      </w:pPr>
      <w:r w:rsidRPr="00164D02">
        <w:rPr>
          <w:u w:val="single"/>
        </w:rPr>
        <w:t>Arbeidsgivers andel av pensjonsutgiftene</w:t>
      </w:r>
    </w:p>
    <w:p w:rsidR="002571B8" w:rsidRPr="00164D02" w:rsidRDefault="002571B8" w:rsidP="008929F3">
      <w:pPr>
        <w:ind w:left="360"/>
      </w:pPr>
      <w:r w:rsidRPr="00164D02">
        <w:t xml:space="preserve">I </w:t>
      </w:r>
      <w:r w:rsidR="00370C9D" w:rsidRPr="00164D02">
        <w:t>budsjettforslaget</w:t>
      </w:r>
      <w:r w:rsidRPr="00164D02">
        <w:t xml:space="preserve"> er pensjons</w:t>
      </w:r>
      <w:r w:rsidR="00164D02" w:rsidRPr="00164D02">
        <w:t>premier</w:t>
      </w:r>
      <w:r w:rsidRPr="00164D02">
        <w:t xml:space="preserve"> basert på aktuarberegninger av </w:t>
      </w:r>
      <w:r w:rsidR="00157829" w:rsidRPr="00164D02">
        <w:t xml:space="preserve">KLP samt premievarsel fra Statens pensjonskasse </w:t>
      </w:r>
      <w:r w:rsidRPr="00164D02">
        <w:t xml:space="preserve">lagt til grunn. Beregningene </w:t>
      </w:r>
      <w:r w:rsidR="001A1801" w:rsidRPr="00164D02">
        <w:t>gi</w:t>
      </w:r>
      <w:r w:rsidR="00CE41F0">
        <w:t>r følgende beregningsstaser for</w:t>
      </w:r>
      <w:r w:rsidR="001A1801" w:rsidRPr="00164D02">
        <w:t xml:space="preserve"> 20</w:t>
      </w:r>
      <w:r w:rsidR="00A35D37" w:rsidRPr="00164D02">
        <w:t>1</w:t>
      </w:r>
      <w:r w:rsidR="00CB3E43">
        <w:t>8</w:t>
      </w:r>
      <w:r w:rsidR="0095287A" w:rsidRPr="00164D02">
        <w:t xml:space="preserve"> (201</w:t>
      </w:r>
      <w:r w:rsidR="00CB3E43">
        <w:t>7</w:t>
      </w:r>
      <w:r w:rsidR="0095287A" w:rsidRPr="00164D02">
        <w:t>-sats i parentes)</w:t>
      </w:r>
      <w:r w:rsidR="001A1801" w:rsidRPr="00164D02">
        <w:t xml:space="preserve">: </w:t>
      </w:r>
    </w:p>
    <w:p w:rsidR="00745EA8" w:rsidRPr="00164D02" w:rsidRDefault="00157829" w:rsidP="005A1903">
      <w:pPr>
        <w:numPr>
          <w:ilvl w:val="0"/>
          <w:numId w:val="2"/>
        </w:numPr>
      </w:pPr>
      <w:r w:rsidRPr="00164D02">
        <w:t>KLP</w:t>
      </w:r>
      <w:r w:rsidR="001A1801" w:rsidRPr="00164D02">
        <w:tab/>
      </w:r>
      <w:r w:rsidR="00B07BFE">
        <w:t>1</w:t>
      </w:r>
      <w:r w:rsidR="00CB3E43">
        <w:t>6</w:t>
      </w:r>
      <w:r w:rsidR="001A1801" w:rsidRPr="00164D02">
        <w:t xml:space="preserve"> </w:t>
      </w:r>
      <w:r w:rsidR="0014525E" w:rsidRPr="00164D02">
        <w:t>% av brutto lønnsutgift</w:t>
      </w:r>
      <w:r w:rsidR="00745EA8" w:rsidRPr="00164D02">
        <w:t xml:space="preserve"> for fellesordningen</w:t>
      </w:r>
      <w:r w:rsidRPr="00164D02">
        <w:t xml:space="preserve"> (</w:t>
      </w:r>
      <w:r w:rsidR="00C42FF0">
        <w:t>19</w:t>
      </w:r>
      <w:r w:rsidR="00F42A34">
        <w:t>,</w:t>
      </w:r>
      <w:r w:rsidR="00CB3E43">
        <w:t>68</w:t>
      </w:r>
      <w:r w:rsidR="0095287A" w:rsidRPr="00164D02">
        <w:t>)</w:t>
      </w:r>
    </w:p>
    <w:p w:rsidR="00164D02" w:rsidRPr="00164D02" w:rsidRDefault="00164D02" w:rsidP="005A1903">
      <w:pPr>
        <w:numPr>
          <w:ilvl w:val="0"/>
          <w:numId w:val="2"/>
        </w:numPr>
      </w:pPr>
      <w:r w:rsidRPr="00164D02">
        <w:t>KLP</w:t>
      </w:r>
      <w:r w:rsidRPr="00164D02">
        <w:tab/>
      </w:r>
      <w:r w:rsidR="00CB3E43">
        <w:t>16</w:t>
      </w:r>
      <w:r w:rsidR="00CE41F0">
        <w:t xml:space="preserve"> </w:t>
      </w:r>
      <w:r w:rsidRPr="00164D02">
        <w:t xml:space="preserve">% av brutto </w:t>
      </w:r>
      <w:r w:rsidR="00C42FF0">
        <w:t>l</w:t>
      </w:r>
      <w:r w:rsidR="00CE41F0">
        <w:t>ø</w:t>
      </w:r>
      <w:r w:rsidR="00CB3E43">
        <w:t>nnsutgift for sykepleiere (19,25</w:t>
      </w:r>
      <w:r w:rsidRPr="00164D02">
        <w:t>)</w:t>
      </w:r>
    </w:p>
    <w:p w:rsidR="001A1801" w:rsidRPr="00164D02" w:rsidRDefault="00157829" w:rsidP="005A1903">
      <w:pPr>
        <w:numPr>
          <w:ilvl w:val="0"/>
          <w:numId w:val="2"/>
        </w:numPr>
      </w:pPr>
      <w:r w:rsidRPr="00164D02">
        <w:t>SPK</w:t>
      </w:r>
      <w:r w:rsidR="001A1801" w:rsidRPr="00164D02">
        <w:tab/>
      </w:r>
      <w:r w:rsidR="00745EA8" w:rsidRPr="00164D02">
        <w:t>1</w:t>
      </w:r>
      <w:r w:rsidR="00CB3E43">
        <w:t>2</w:t>
      </w:r>
      <w:r w:rsidR="00745EA8" w:rsidRPr="00164D02">
        <w:t xml:space="preserve"> %</w:t>
      </w:r>
      <w:r w:rsidR="0014525E" w:rsidRPr="00164D02">
        <w:t xml:space="preserve"> av brutto lønnsutgift</w:t>
      </w:r>
      <w:r w:rsidRPr="00164D02">
        <w:t xml:space="preserve"> (</w:t>
      </w:r>
      <w:r w:rsidR="009E72B2" w:rsidRPr="00164D02">
        <w:t>1</w:t>
      </w:r>
      <w:r w:rsidR="00CB3E43">
        <w:t>0,25</w:t>
      </w:r>
      <w:r w:rsidRPr="00164D02">
        <w:t>)</w:t>
      </w:r>
    </w:p>
    <w:p w:rsidR="0010636E" w:rsidRDefault="0010636E" w:rsidP="008929F3">
      <w:pPr>
        <w:ind w:left="360"/>
      </w:pPr>
    </w:p>
    <w:p w:rsidR="00D517D2" w:rsidRDefault="00CE41F0" w:rsidP="001A1801">
      <w:pPr>
        <w:ind w:left="360"/>
        <w:rPr>
          <w:rFonts w:ascii="Arial" w:hAnsi="Arial" w:cs="Arial"/>
          <w:b/>
          <w:bCs/>
          <w:kern w:val="32"/>
          <w:sz w:val="32"/>
          <w:szCs w:val="32"/>
        </w:rPr>
      </w:pPr>
      <w:r>
        <w:t xml:space="preserve">Vi forventer et premieavvik på </w:t>
      </w:r>
      <w:r w:rsidR="009A2D29">
        <w:t>2</w:t>
      </w:r>
      <w:r>
        <w:t xml:space="preserve"> millioner i 2017</w:t>
      </w:r>
      <w:r w:rsidR="009A2D29">
        <w:t>. D</w:t>
      </w:r>
      <w:r w:rsidR="00CA7FAF">
        <w:t>ette</w:t>
      </w:r>
      <w:r w:rsidR="009A2D29">
        <w:t xml:space="preserve"> skal amortiseres over</w:t>
      </w:r>
      <w:r w:rsidR="00B21A56">
        <w:t xml:space="preserve"> 7 år. </w:t>
      </w:r>
      <w:r w:rsidR="009A2D29">
        <w:t xml:space="preserve">Det vil si at det </w:t>
      </w:r>
      <w:r w:rsidR="00CB3E43">
        <w:t xml:space="preserve">i regnskapet </w:t>
      </w:r>
      <w:r w:rsidR="009A2D29">
        <w:t>skal kostnadsføres 1/7 av dette hvert år i syv år. Prognosene til KLP tilsier at</w:t>
      </w:r>
      <w:r w:rsidR="00CB3E43">
        <w:t xml:space="preserve"> vi vil få</w:t>
      </w:r>
      <w:r w:rsidR="009A2D29">
        <w:t xml:space="preserve"> høye positive premieavvik </w:t>
      </w:r>
      <w:r w:rsidR="00CB3E43">
        <w:t xml:space="preserve">også </w:t>
      </w:r>
      <w:r w:rsidR="009A2D29">
        <w:t xml:space="preserve">i årene som kommer. Det betyr igjen </w:t>
      </w:r>
      <w:r w:rsidR="00CB3E43">
        <w:t xml:space="preserve">at vi får </w:t>
      </w:r>
      <w:r w:rsidR="009A2D29">
        <w:t xml:space="preserve">høyere og høyere </w:t>
      </w:r>
      <w:proofErr w:type="spellStart"/>
      <w:r w:rsidR="009A2D29">
        <w:t>kostnadsføring</w:t>
      </w:r>
      <w:proofErr w:type="spellEnd"/>
      <w:r w:rsidR="009A2D29">
        <w:t xml:space="preserve"> fremover. Alt over kroner 1.348.000,- som</w:t>
      </w:r>
      <w:r w:rsidR="00CB3E43">
        <w:t xml:space="preserve"> var total amortisering da premieavviksfondet ble opprettet,</w:t>
      </w:r>
      <w:r w:rsidR="009A2D29">
        <w:t xml:space="preserve"> </w:t>
      </w:r>
      <w:r w:rsidR="00CB3E43">
        <w:t xml:space="preserve">har vi lagt opp til </w:t>
      </w:r>
      <w:r w:rsidR="009A2D29">
        <w:t xml:space="preserve">må </w:t>
      </w:r>
      <w:r w:rsidR="00CB3E43">
        <w:t>dekkes av premieavvi</w:t>
      </w:r>
      <w:r w:rsidR="009A2D29">
        <w:t xml:space="preserve">ksfondet. </w:t>
      </w:r>
    </w:p>
    <w:p w:rsidR="004378A7" w:rsidRDefault="004378A7" w:rsidP="001A1801">
      <w:pPr>
        <w:ind w:left="360"/>
        <w:rPr>
          <w:rFonts w:ascii="Arial" w:hAnsi="Arial" w:cs="Arial"/>
          <w:b/>
          <w:bCs/>
          <w:kern w:val="32"/>
          <w:sz w:val="32"/>
          <w:szCs w:val="32"/>
        </w:rPr>
      </w:pPr>
    </w:p>
    <w:p w:rsidR="00D517D2" w:rsidRDefault="00D517D2" w:rsidP="001A1801">
      <w:pPr>
        <w:ind w:left="360"/>
        <w:rPr>
          <w:rFonts w:ascii="Arial" w:hAnsi="Arial" w:cs="Arial"/>
          <w:b/>
          <w:bCs/>
          <w:kern w:val="32"/>
          <w:sz w:val="32"/>
          <w:szCs w:val="32"/>
        </w:rPr>
      </w:pPr>
    </w:p>
    <w:p w:rsidR="00E441E6" w:rsidRDefault="00E441E6" w:rsidP="001A1801">
      <w:pPr>
        <w:ind w:left="360"/>
        <w:rPr>
          <w:rFonts w:ascii="Arial" w:hAnsi="Arial" w:cs="Arial"/>
          <w:b/>
          <w:bCs/>
          <w:kern w:val="32"/>
          <w:sz w:val="32"/>
          <w:szCs w:val="32"/>
        </w:rPr>
      </w:pPr>
    </w:p>
    <w:p w:rsidR="00E441E6" w:rsidRDefault="00E441E6" w:rsidP="001A1801">
      <w:pPr>
        <w:ind w:left="360"/>
        <w:rPr>
          <w:rFonts w:ascii="Arial" w:hAnsi="Arial" w:cs="Arial"/>
          <w:b/>
          <w:bCs/>
          <w:kern w:val="32"/>
          <w:sz w:val="32"/>
          <w:szCs w:val="32"/>
        </w:rPr>
      </w:pPr>
    </w:p>
    <w:p w:rsidR="00E441E6" w:rsidRDefault="00E441E6" w:rsidP="001A1801">
      <w:pPr>
        <w:ind w:left="360"/>
        <w:rPr>
          <w:rFonts w:ascii="Arial" w:hAnsi="Arial" w:cs="Arial"/>
          <w:b/>
          <w:bCs/>
          <w:kern w:val="32"/>
          <w:sz w:val="32"/>
          <w:szCs w:val="32"/>
        </w:rPr>
      </w:pPr>
    </w:p>
    <w:p w:rsidR="00E441E6" w:rsidRDefault="00E441E6" w:rsidP="001A1801">
      <w:pPr>
        <w:ind w:left="360"/>
        <w:rPr>
          <w:rFonts w:ascii="Arial" w:hAnsi="Arial" w:cs="Arial"/>
          <w:b/>
          <w:bCs/>
          <w:kern w:val="32"/>
          <w:sz w:val="32"/>
          <w:szCs w:val="32"/>
        </w:rPr>
      </w:pPr>
    </w:p>
    <w:p w:rsidR="00E441E6" w:rsidRDefault="00E441E6" w:rsidP="001A1801">
      <w:pPr>
        <w:ind w:left="360"/>
        <w:rPr>
          <w:rFonts w:ascii="Arial" w:hAnsi="Arial" w:cs="Arial"/>
          <w:b/>
          <w:bCs/>
          <w:kern w:val="32"/>
          <w:sz w:val="32"/>
          <w:szCs w:val="32"/>
        </w:rPr>
      </w:pPr>
    </w:p>
    <w:p w:rsidR="00E441E6" w:rsidRDefault="00E441E6" w:rsidP="001A1801">
      <w:pPr>
        <w:ind w:left="360"/>
        <w:rPr>
          <w:rFonts w:ascii="Arial" w:hAnsi="Arial" w:cs="Arial"/>
          <w:b/>
          <w:bCs/>
          <w:kern w:val="32"/>
          <w:sz w:val="32"/>
          <w:szCs w:val="32"/>
        </w:rPr>
      </w:pPr>
    </w:p>
    <w:p w:rsidR="00E441E6" w:rsidRDefault="00E441E6" w:rsidP="001A1801">
      <w:pPr>
        <w:ind w:left="360"/>
        <w:rPr>
          <w:rFonts w:ascii="Arial" w:hAnsi="Arial" w:cs="Arial"/>
          <w:b/>
          <w:bCs/>
          <w:kern w:val="32"/>
          <w:sz w:val="32"/>
          <w:szCs w:val="32"/>
        </w:rPr>
      </w:pPr>
    </w:p>
    <w:p w:rsidR="00D62A57" w:rsidRPr="00D62A57" w:rsidRDefault="00D62A57" w:rsidP="00D62A57">
      <w:pPr>
        <w:pStyle w:val="Listeavsnitt"/>
        <w:numPr>
          <w:ilvl w:val="0"/>
          <w:numId w:val="1"/>
        </w:numPr>
        <w:rPr>
          <w:b/>
          <w:sz w:val="32"/>
          <w:szCs w:val="32"/>
        </w:rPr>
      </w:pPr>
      <w:r w:rsidRPr="00D62A57">
        <w:rPr>
          <w:b/>
          <w:sz w:val="32"/>
          <w:szCs w:val="32"/>
        </w:rPr>
        <w:lastRenderedPageBreak/>
        <w:t>KOSTRA – noen utvalgte tall</w:t>
      </w:r>
    </w:p>
    <w:p w:rsidR="00D62A57" w:rsidRDefault="00D62A57" w:rsidP="00D62A57">
      <w:r>
        <w:t xml:space="preserve">I tabellen nedenfor er det plukka ut noen indikatorer fra </w:t>
      </w:r>
      <w:proofErr w:type="spellStart"/>
      <w:r>
        <w:t>Kostra</w:t>
      </w:r>
      <w:proofErr w:type="spellEnd"/>
      <w:r>
        <w:t xml:space="preserve">. Tallene er fordelt i forhold til etater. Databasen har svært mange indikatorer, så her er det gjort et skjønnsmessig utvalg med flest indikatorer fra de to store etatene. </w:t>
      </w:r>
    </w:p>
    <w:tbl>
      <w:tblPr>
        <w:tblW w:w="10061" w:type="dxa"/>
        <w:tblInd w:w="55" w:type="dxa"/>
        <w:tblCellMar>
          <w:left w:w="70" w:type="dxa"/>
          <w:right w:w="70" w:type="dxa"/>
        </w:tblCellMar>
        <w:tblLook w:val="04A0" w:firstRow="1" w:lastRow="0" w:firstColumn="1" w:lastColumn="0" w:noHBand="0" w:noVBand="1"/>
      </w:tblPr>
      <w:tblGrid>
        <w:gridCol w:w="3277"/>
        <w:gridCol w:w="993"/>
        <w:gridCol w:w="1134"/>
        <w:gridCol w:w="1255"/>
        <w:gridCol w:w="1033"/>
        <w:gridCol w:w="1235"/>
        <w:gridCol w:w="1134"/>
      </w:tblGrid>
      <w:tr w:rsidR="00D62A57" w:rsidRPr="001F18AF" w:rsidTr="00D62A57">
        <w:trPr>
          <w:trHeight w:val="300"/>
        </w:trPr>
        <w:tc>
          <w:tcPr>
            <w:tcW w:w="3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b/>
                <w:bCs/>
                <w:color w:val="000000"/>
              </w:rPr>
            </w:pPr>
            <w:r w:rsidRPr="001F18AF">
              <w:rPr>
                <w:rFonts w:ascii="Calibri" w:hAnsi="Calibri"/>
                <w:b/>
                <w:bCs/>
                <w:color w:val="000000"/>
              </w:rPr>
              <w:t xml:space="preserve">Utvalgte nøkkeltall for </w:t>
            </w:r>
            <w:proofErr w:type="spellStart"/>
            <w:r w:rsidRPr="001F18AF">
              <w:rPr>
                <w:rFonts w:ascii="Calibri" w:hAnsi="Calibri"/>
                <w:b/>
                <w:bCs/>
                <w:color w:val="000000"/>
              </w:rPr>
              <w:t>kultur-og</w:t>
            </w:r>
            <w:proofErr w:type="spellEnd"/>
            <w:r w:rsidRPr="001F18AF">
              <w:rPr>
                <w:rFonts w:ascii="Calibri" w:hAnsi="Calibri"/>
                <w:b/>
                <w:bCs/>
                <w:color w:val="000000"/>
              </w:rPr>
              <w:t xml:space="preserve"> undervisningsetaten</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b/>
                <w:bCs/>
                <w:color w:val="000000"/>
              </w:rPr>
            </w:pPr>
            <w:r w:rsidRPr="001F18AF">
              <w:rPr>
                <w:rFonts w:ascii="Calibri" w:hAnsi="Calibri"/>
                <w:b/>
                <w:bCs/>
                <w:color w:val="000000"/>
              </w:rPr>
              <w:t> </w:t>
            </w:r>
          </w:p>
        </w:tc>
        <w:tc>
          <w:tcPr>
            <w:tcW w:w="1134" w:type="dxa"/>
            <w:tcBorders>
              <w:top w:val="single" w:sz="4" w:space="0" w:color="auto"/>
              <w:left w:val="nil"/>
              <w:bottom w:val="single" w:sz="4" w:space="0" w:color="auto"/>
              <w:right w:val="single" w:sz="4" w:space="0" w:color="auto"/>
            </w:tcBorders>
          </w:tcPr>
          <w:p w:rsidR="00D62A57" w:rsidRPr="001F18AF" w:rsidRDefault="00D62A57" w:rsidP="00D62A57">
            <w:pPr>
              <w:jc w:val="center"/>
              <w:rPr>
                <w:rFonts w:ascii="Calibri" w:hAnsi="Calibri"/>
                <w:b/>
                <w:bCs/>
                <w:color w:val="000000"/>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b/>
                <w:bCs/>
                <w:color w:val="000000"/>
              </w:rPr>
            </w:pPr>
            <w:r w:rsidRPr="001F18AF">
              <w:rPr>
                <w:rFonts w:ascii="Calibri" w:hAnsi="Calibri"/>
                <w:b/>
                <w:bCs/>
                <w:color w:val="000000"/>
              </w:rPr>
              <w:t> </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D62A57" w:rsidRPr="001F18AF" w:rsidRDefault="00D62A57" w:rsidP="00D62A57">
            <w:pPr>
              <w:jc w:val="center"/>
              <w:rPr>
                <w:rFonts w:ascii="Calibri" w:hAnsi="Calibri"/>
                <w:b/>
                <w:bCs/>
                <w:color w:val="000000"/>
              </w:rPr>
            </w:pPr>
            <w:r>
              <w:rPr>
                <w:rFonts w:ascii="Calibri" w:hAnsi="Calibri"/>
                <w:b/>
                <w:bCs/>
                <w:color w:val="000000"/>
              </w:rPr>
              <w:t>2016</w:t>
            </w:r>
          </w:p>
        </w:tc>
      </w:tr>
      <w:tr w:rsidR="00D62A57" w:rsidRPr="00C21B8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C21B8F" w:rsidRDefault="00D62A57" w:rsidP="00D62A57">
            <w:pPr>
              <w:rPr>
                <w:rFonts w:ascii="Calibri" w:hAnsi="Calibri"/>
                <w:b/>
                <w:color w:val="000000"/>
              </w:rPr>
            </w:pPr>
            <w:r w:rsidRPr="00C21B8F">
              <w:rPr>
                <w:rFonts w:ascii="Calibri" w:hAnsi="Calibri"/>
                <w:b/>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C21B8F" w:rsidRDefault="00D62A57" w:rsidP="00D62A57">
            <w:pPr>
              <w:jc w:val="right"/>
              <w:rPr>
                <w:rFonts w:ascii="Calibri" w:hAnsi="Calibri"/>
                <w:b/>
                <w:color w:val="000000"/>
              </w:rPr>
            </w:pPr>
            <w:r w:rsidRPr="00C21B8F">
              <w:rPr>
                <w:rFonts w:ascii="Calibri" w:hAnsi="Calibri"/>
                <w:b/>
                <w:color w:val="000000"/>
              </w:rPr>
              <w:t>2010</w:t>
            </w:r>
          </w:p>
        </w:tc>
        <w:tc>
          <w:tcPr>
            <w:tcW w:w="1134" w:type="dxa"/>
            <w:tcBorders>
              <w:top w:val="single" w:sz="4" w:space="0" w:color="auto"/>
              <w:left w:val="nil"/>
              <w:bottom w:val="single" w:sz="4" w:space="0" w:color="auto"/>
              <w:right w:val="single" w:sz="4" w:space="0" w:color="auto"/>
            </w:tcBorders>
            <w:vAlign w:val="bottom"/>
          </w:tcPr>
          <w:p w:rsidR="00D62A57" w:rsidRPr="00C21B8F" w:rsidRDefault="00D62A57" w:rsidP="00D62A57">
            <w:pPr>
              <w:jc w:val="right"/>
              <w:rPr>
                <w:rFonts w:ascii="Calibri" w:hAnsi="Calibri"/>
                <w:b/>
                <w:color w:val="000000"/>
              </w:rPr>
            </w:pPr>
            <w:r>
              <w:rPr>
                <w:rFonts w:ascii="Calibri" w:hAnsi="Calibri"/>
                <w:b/>
                <w:color w:val="000000"/>
              </w:rPr>
              <w:t>2014</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C21B8F" w:rsidRDefault="00D62A57" w:rsidP="00D62A57">
            <w:pPr>
              <w:jc w:val="right"/>
              <w:rPr>
                <w:rFonts w:ascii="Calibri" w:hAnsi="Calibri"/>
                <w:b/>
                <w:color w:val="000000"/>
              </w:rPr>
            </w:pPr>
            <w:r>
              <w:rPr>
                <w:rFonts w:ascii="Calibri" w:hAnsi="Calibri"/>
                <w:b/>
                <w:color w:val="000000"/>
              </w:rPr>
              <w:t>2016</w:t>
            </w:r>
          </w:p>
        </w:tc>
        <w:tc>
          <w:tcPr>
            <w:tcW w:w="1033" w:type="dxa"/>
            <w:tcBorders>
              <w:top w:val="nil"/>
              <w:left w:val="nil"/>
              <w:bottom w:val="single" w:sz="4" w:space="0" w:color="auto"/>
              <w:right w:val="single" w:sz="4" w:space="0" w:color="auto"/>
            </w:tcBorders>
            <w:shd w:val="clear" w:color="auto" w:fill="auto"/>
            <w:noWrap/>
            <w:vAlign w:val="bottom"/>
            <w:hideMark/>
          </w:tcPr>
          <w:p w:rsidR="00D62A57" w:rsidRPr="00C21B8F" w:rsidRDefault="00D62A57" w:rsidP="00D62A57">
            <w:pPr>
              <w:rPr>
                <w:rFonts w:ascii="Calibri" w:hAnsi="Calibri"/>
                <w:b/>
                <w:color w:val="000000"/>
              </w:rPr>
            </w:pPr>
            <w:r w:rsidRPr="00C21B8F">
              <w:rPr>
                <w:rFonts w:ascii="Calibri" w:hAnsi="Calibri"/>
                <w:b/>
                <w:color w:val="000000"/>
              </w:rPr>
              <w:t>Gr. 3</w:t>
            </w:r>
          </w:p>
        </w:tc>
        <w:tc>
          <w:tcPr>
            <w:tcW w:w="1235" w:type="dxa"/>
            <w:tcBorders>
              <w:top w:val="nil"/>
              <w:left w:val="nil"/>
              <w:bottom w:val="single" w:sz="4" w:space="0" w:color="auto"/>
              <w:right w:val="single" w:sz="4" w:space="0" w:color="auto"/>
            </w:tcBorders>
            <w:shd w:val="clear" w:color="auto" w:fill="auto"/>
            <w:noWrap/>
            <w:vAlign w:val="bottom"/>
            <w:hideMark/>
          </w:tcPr>
          <w:p w:rsidR="00D62A57" w:rsidRPr="00C21B8F" w:rsidRDefault="00D62A57" w:rsidP="00D62A57">
            <w:pPr>
              <w:rPr>
                <w:rFonts w:ascii="Calibri" w:hAnsi="Calibri"/>
                <w:b/>
                <w:color w:val="000000"/>
              </w:rPr>
            </w:pPr>
            <w:r w:rsidRPr="00C21B8F">
              <w:rPr>
                <w:rFonts w:ascii="Calibri" w:hAnsi="Calibri"/>
                <w:b/>
                <w:color w:val="000000"/>
              </w:rPr>
              <w:t>Troms</w:t>
            </w:r>
          </w:p>
        </w:tc>
        <w:tc>
          <w:tcPr>
            <w:tcW w:w="1134" w:type="dxa"/>
            <w:tcBorders>
              <w:top w:val="nil"/>
              <w:left w:val="nil"/>
              <w:bottom w:val="single" w:sz="4" w:space="0" w:color="auto"/>
              <w:right w:val="single" w:sz="4" w:space="0" w:color="auto"/>
            </w:tcBorders>
            <w:shd w:val="clear" w:color="auto" w:fill="auto"/>
            <w:noWrap/>
            <w:vAlign w:val="bottom"/>
            <w:hideMark/>
          </w:tcPr>
          <w:p w:rsidR="00D62A57" w:rsidRPr="00C21B8F" w:rsidRDefault="00D62A57" w:rsidP="00D62A57">
            <w:pPr>
              <w:rPr>
                <w:rFonts w:ascii="Calibri" w:hAnsi="Calibri"/>
                <w:b/>
                <w:color w:val="000000"/>
              </w:rPr>
            </w:pPr>
            <w:r w:rsidRPr="00C21B8F">
              <w:rPr>
                <w:rFonts w:ascii="Calibri" w:hAnsi="Calibri"/>
                <w:b/>
                <w:color w:val="000000"/>
              </w:rPr>
              <w:t>Landet</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sz w:val="18"/>
                <w:szCs w:val="18"/>
                <w:lang w:val="nn-NO"/>
              </w:rPr>
            </w:pPr>
            <w:r w:rsidRPr="001F18AF">
              <w:rPr>
                <w:rFonts w:ascii="Calibri" w:hAnsi="Calibri"/>
                <w:color w:val="000000"/>
                <w:sz w:val="18"/>
                <w:szCs w:val="18"/>
                <w:lang w:val="nn-NO"/>
              </w:rPr>
              <w:t xml:space="preserve">Netto </w:t>
            </w:r>
            <w:proofErr w:type="spellStart"/>
            <w:r w:rsidRPr="001F18AF">
              <w:rPr>
                <w:rFonts w:ascii="Calibri" w:hAnsi="Calibri"/>
                <w:color w:val="000000"/>
                <w:sz w:val="18"/>
                <w:szCs w:val="18"/>
                <w:lang w:val="nn-NO"/>
              </w:rPr>
              <w:t>driftsutg</w:t>
            </w:r>
            <w:proofErr w:type="spellEnd"/>
            <w:r w:rsidRPr="001F18AF">
              <w:rPr>
                <w:rFonts w:ascii="Calibri" w:hAnsi="Calibri"/>
                <w:color w:val="000000"/>
                <w:sz w:val="18"/>
                <w:szCs w:val="18"/>
                <w:lang w:val="nn-NO"/>
              </w:rPr>
              <w:t>. grunnskolen % av total</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jc w:val="right"/>
              <w:rPr>
                <w:rFonts w:ascii="Calibri" w:hAnsi="Calibri"/>
                <w:color w:val="000000"/>
              </w:rPr>
            </w:pPr>
            <w:r w:rsidRPr="001F18AF">
              <w:rPr>
                <w:rFonts w:ascii="Calibri" w:hAnsi="Calibri"/>
                <w:color w:val="000000"/>
              </w:rPr>
              <w:t>29,9</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22</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19,8</w:t>
            </w:r>
          </w:p>
        </w:tc>
        <w:tc>
          <w:tcPr>
            <w:tcW w:w="103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23,4</w:t>
            </w:r>
          </w:p>
        </w:tc>
        <w:tc>
          <w:tcPr>
            <w:tcW w:w="1235"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22,9</w:t>
            </w:r>
          </w:p>
        </w:tc>
        <w:tc>
          <w:tcPr>
            <w:tcW w:w="1134"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23,0</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sz w:val="18"/>
                <w:szCs w:val="18"/>
                <w:lang w:val="nn-NO"/>
              </w:rPr>
            </w:pPr>
            <w:r w:rsidRPr="001F18AF">
              <w:rPr>
                <w:rFonts w:ascii="Calibri" w:hAnsi="Calibri"/>
                <w:color w:val="000000"/>
                <w:sz w:val="18"/>
                <w:szCs w:val="18"/>
                <w:lang w:val="nn-NO"/>
              </w:rPr>
              <w:t>Netto driftsutg.pr elev, 6-15 år</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jc w:val="right"/>
              <w:rPr>
                <w:rFonts w:ascii="Calibri" w:hAnsi="Calibri"/>
                <w:color w:val="000000"/>
              </w:rPr>
            </w:pPr>
            <w:r w:rsidRPr="001F18AF">
              <w:rPr>
                <w:rFonts w:ascii="Calibri" w:hAnsi="Calibri"/>
                <w:color w:val="000000"/>
              </w:rPr>
              <w:t>89696</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130306</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103324</w:t>
            </w:r>
          </w:p>
        </w:tc>
        <w:tc>
          <w:tcPr>
            <w:tcW w:w="103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105998</w:t>
            </w:r>
          </w:p>
        </w:tc>
        <w:tc>
          <w:tcPr>
            <w:tcW w:w="1235"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90006</w:t>
            </w:r>
          </w:p>
        </w:tc>
        <w:tc>
          <w:tcPr>
            <w:tcW w:w="1134"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83473</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sz w:val="18"/>
                <w:szCs w:val="18"/>
              </w:rPr>
            </w:pPr>
            <w:r w:rsidRPr="001F18AF">
              <w:rPr>
                <w:rFonts w:ascii="Calibri" w:hAnsi="Calibri"/>
                <w:color w:val="000000"/>
                <w:sz w:val="18"/>
                <w:szCs w:val="18"/>
              </w:rPr>
              <w:t xml:space="preserve">Andel </w:t>
            </w:r>
            <w:proofErr w:type="spellStart"/>
            <w:proofErr w:type="gramStart"/>
            <w:r w:rsidRPr="001F18AF">
              <w:rPr>
                <w:rFonts w:ascii="Calibri" w:hAnsi="Calibri"/>
                <w:color w:val="000000"/>
                <w:sz w:val="18"/>
                <w:szCs w:val="18"/>
              </w:rPr>
              <w:t>spes.underv</w:t>
            </w:r>
            <w:proofErr w:type="spellEnd"/>
            <w:proofErr w:type="gramEnd"/>
            <w:r w:rsidRPr="001F18AF">
              <w:rPr>
                <w:rFonts w:ascii="Calibri" w:hAnsi="Calibri"/>
                <w:color w:val="000000"/>
                <w:sz w:val="18"/>
                <w:szCs w:val="18"/>
              </w:rPr>
              <w:t xml:space="preserve"> av </w:t>
            </w:r>
            <w:proofErr w:type="spellStart"/>
            <w:r w:rsidRPr="001F18AF">
              <w:rPr>
                <w:rFonts w:ascii="Calibri" w:hAnsi="Calibri"/>
                <w:color w:val="000000"/>
                <w:sz w:val="18"/>
                <w:szCs w:val="18"/>
              </w:rPr>
              <w:t>tot.ant</w:t>
            </w:r>
            <w:proofErr w:type="spellEnd"/>
            <w:r w:rsidRPr="001F18AF">
              <w:rPr>
                <w:rFonts w:ascii="Calibri" w:hAnsi="Calibri"/>
                <w:color w:val="000000"/>
                <w:sz w:val="18"/>
                <w:szCs w:val="18"/>
              </w:rPr>
              <w:t>. læretimer</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jc w:val="right"/>
              <w:rPr>
                <w:rFonts w:ascii="Calibri" w:hAnsi="Calibri"/>
                <w:color w:val="000000"/>
              </w:rPr>
            </w:pPr>
            <w:r w:rsidRPr="001F18AF">
              <w:rPr>
                <w:rFonts w:ascii="Calibri" w:hAnsi="Calibri"/>
                <w:color w:val="000000"/>
              </w:rPr>
              <w:t>24,8</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21,2</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19,9</w:t>
            </w:r>
          </w:p>
        </w:tc>
        <w:tc>
          <w:tcPr>
            <w:tcW w:w="103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19,4</w:t>
            </w:r>
          </w:p>
        </w:tc>
        <w:tc>
          <w:tcPr>
            <w:tcW w:w="1235"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21,4</w:t>
            </w:r>
          </w:p>
        </w:tc>
        <w:tc>
          <w:tcPr>
            <w:tcW w:w="1134"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17,4</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sz w:val="18"/>
                <w:szCs w:val="18"/>
              </w:rPr>
            </w:pPr>
            <w:r w:rsidRPr="001F18AF">
              <w:rPr>
                <w:rFonts w:ascii="Calibri" w:hAnsi="Calibri"/>
                <w:color w:val="000000"/>
                <w:sz w:val="18"/>
                <w:szCs w:val="18"/>
              </w:rPr>
              <w:t xml:space="preserve">Andel elever med </w:t>
            </w:r>
            <w:proofErr w:type="spellStart"/>
            <w:r w:rsidRPr="001F18AF">
              <w:rPr>
                <w:rFonts w:ascii="Calibri" w:hAnsi="Calibri"/>
                <w:color w:val="000000"/>
                <w:sz w:val="18"/>
                <w:szCs w:val="18"/>
              </w:rPr>
              <w:t>spes.und</w:t>
            </w:r>
            <w:proofErr w:type="spellEnd"/>
            <w:r w:rsidRPr="001F18AF">
              <w:rPr>
                <w:rFonts w:ascii="Calibri" w:hAnsi="Calibri"/>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jc w:val="right"/>
              <w:rPr>
                <w:rFonts w:ascii="Calibri" w:hAnsi="Calibri"/>
                <w:color w:val="000000"/>
              </w:rPr>
            </w:pPr>
            <w:r w:rsidRPr="001F18AF">
              <w:rPr>
                <w:rFonts w:ascii="Calibri" w:hAnsi="Calibri"/>
                <w:color w:val="000000"/>
              </w:rPr>
              <w:t>20,3</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10,8</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17,0</w:t>
            </w:r>
          </w:p>
        </w:tc>
        <w:tc>
          <w:tcPr>
            <w:tcW w:w="103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9,7</w:t>
            </w:r>
          </w:p>
        </w:tc>
        <w:tc>
          <w:tcPr>
            <w:tcW w:w="1235"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9,0</w:t>
            </w:r>
          </w:p>
        </w:tc>
        <w:tc>
          <w:tcPr>
            <w:tcW w:w="1134"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7,8</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jc w:val="right"/>
              <w:rPr>
                <w:rFonts w:ascii="Calibri" w:hAnsi="Calibri"/>
                <w:color w:val="000000"/>
                <w:sz w:val="18"/>
                <w:szCs w:val="18"/>
              </w:rPr>
            </w:pPr>
            <w:r w:rsidRPr="001F18AF">
              <w:rPr>
                <w:rFonts w:ascii="Calibri" w:hAnsi="Calibri"/>
                <w:color w:val="000000"/>
                <w:sz w:val="18"/>
                <w:szCs w:val="18"/>
              </w:rPr>
              <w:t> </w:t>
            </w:r>
            <w:r>
              <w:rPr>
                <w:rFonts w:ascii="Calibri" w:hAnsi="Calibri"/>
                <w:color w:val="000000"/>
                <w:sz w:val="18"/>
                <w:szCs w:val="18"/>
              </w:rPr>
              <w:t>1.-4.klasse</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rPr>
                <w:rFonts w:ascii="Calibri" w:hAnsi="Calibri"/>
                <w:color w:val="000000"/>
              </w:rPr>
            </w:pP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9,7</w:t>
            </w:r>
          </w:p>
        </w:tc>
        <w:tc>
          <w:tcPr>
            <w:tcW w:w="103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jc w:val="right"/>
              <w:rPr>
                <w:rFonts w:ascii="Calibri" w:hAnsi="Calibri"/>
                <w:color w:val="000000"/>
              </w:rPr>
            </w:pPr>
            <w:r>
              <w:rPr>
                <w:rFonts w:ascii="Calibri" w:hAnsi="Calibri"/>
                <w:color w:val="000000"/>
              </w:rPr>
              <w:t>6,5</w:t>
            </w:r>
            <w:r w:rsidRPr="001F18AF">
              <w:rPr>
                <w:rFonts w:ascii="Calibri" w:hAnsi="Calibri"/>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jc w:val="right"/>
              <w:rPr>
                <w:rFonts w:ascii="Calibri" w:hAnsi="Calibri"/>
                <w:color w:val="000000"/>
              </w:rPr>
            </w:pPr>
            <w:r>
              <w:rPr>
                <w:rFonts w:ascii="Calibri" w:hAnsi="Calibri"/>
                <w:color w:val="000000"/>
              </w:rPr>
              <w:t>5,4</w:t>
            </w:r>
            <w:r w:rsidRPr="001F18AF">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jc w:val="right"/>
              <w:rPr>
                <w:rFonts w:ascii="Calibri" w:hAnsi="Calibri"/>
                <w:color w:val="000000"/>
              </w:rPr>
            </w:pPr>
            <w:r>
              <w:rPr>
                <w:rFonts w:ascii="Calibri" w:hAnsi="Calibri"/>
                <w:color w:val="000000"/>
              </w:rPr>
              <w:t>5,1</w:t>
            </w:r>
            <w:r w:rsidRPr="001F18AF">
              <w:rPr>
                <w:rFonts w:ascii="Calibri" w:hAnsi="Calibri"/>
                <w:color w:val="000000"/>
              </w:rPr>
              <w:t> </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sz w:val="18"/>
                <w:szCs w:val="18"/>
              </w:rPr>
            </w:pPr>
            <w:r>
              <w:rPr>
                <w:rFonts w:ascii="Calibri" w:hAnsi="Calibri"/>
                <w:color w:val="000000"/>
                <w:sz w:val="18"/>
                <w:szCs w:val="18"/>
              </w:rPr>
              <w:t>5.-7. klasse</w:t>
            </w:r>
          </w:p>
        </w:tc>
        <w:tc>
          <w:tcPr>
            <w:tcW w:w="99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color w:val="000000"/>
              </w:rPr>
            </w:pP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rPr>
                <w:rFonts w:ascii="Calibri" w:hAnsi="Calibri"/>
                <w:color w:val="000000"/>
              </w:rPr>
            </w:pP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28,7</w:t>
            </w:r>
          </w:p>
        </w:tc>
        <w:tc>
          <w:tcPr>
            <w:tcW w:w="103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11,8</w:t>
            </w:r>
          </w:p>
        </w:tc>
        <w:tc>
          <w:tcPr>
            <w:tcW w:w="1235"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11,2</w:t>
            </w:r>
          </w:p>
        </w:tc>
        <w:tc>
          <w:tcPr>
            <w:tcW w:w="1134"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10,1</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sz w:val="18"/>
                <w:szCs w:val="18"/>
              </w:rPr>
            </w:pPr>
            <w:r>
              <w:rPr>
                <w:rFonts w:ascii="Calibri" w:hAnsi="Calibri"/>
                <w:color w:val="000000"/>
                <w:sz w:val="18"/>
                <w:szCs w:val="18"/>
              </w:rPr>
              <w:t>8.-10. klasse</w:t>
            </w:r>
          </w:p>
        </w:tc>
        <w:tc>
          <w:tcPr>
            <w:tcW w:w="99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color w:val="000000"/>
              </w:rPr>
            </w:pP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rPr>
                <w:rFonts w:ascii="Calibri" w:hAnsi="Calibri"/>
                <w:color w:val="000000"/>
              </w:rPr>
            </w:pP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13,4</w:t>
            </w:r>
          </w:p>
        </w:tc>
        <w:tc>
          <w:tcPr>
            <w:tcW w:w="103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11,7</w:t>
            </w:r>
          </w:p>
        </w:tc>
        <w:tc>
          <w:tcPr>
            <w:tcW w:w="1235"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11,6</w:t>
            </w:r>
          </w:p>
        </w:tc>
        <w:tc>
          <w:tcPr>
            <w:tcW w:w="1134"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10,1</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sz w:val="18"/>
                <w:szCs w:val="18"/>
                <w:lang w:val="nn-NO"/>
              </w:rPr>
            </w:pPr>
            <w:r w:rsidRPr="001F18AF">
              <w:rPr>
                <w:rFonts w:ascii="Calibri" w:hAnsi="Calibri"/>
                <w:color w:val="000000"/>
                <w:sz w:val="18"/>
                <w:szCs w:val="18"/>
                <w:lang w:val="nn-NO"/>
              </w:rPr>
              <w:t xml:space="preserve">Netto </w:t>
            </w:r>
            <w:proofErr w:type="spellStart"/>
            <w:r w:rsidRPr="001F18AF">
              <w:rPr>
                <w:rFonts w:ascii="Calibri" w:hAnsi="Calibri"/>
                <w:color w:val="000000"/>
                <w:sz w:val="18"/>
                <w:szCs w:val="18"/>
                <w:lang w:val="nn-NO"/>
              </w:rPr>
              <w:t>driftsutg</w:t>
            </w:r>
            <w:proofErr w:type="spellEnd"/>
            <w:r w:rsidRPr="001F18AF">
              <w:rPr>
                <w:rFonts w:ascii="Calibri" w:hAnsi="Calibri"/>
                <w:color w:val="000000"/>
                <w:sz w:val="18"/>
                <w:szCs w:val="18"/>
                <w:lang w:val="nn-NO"/>
              </w:rPr>
              <w:t xml:space="preserve">. </w:t>
            </w:r>
            <w:proofErr w:type="spellStart"/>
            <w:r w:rsidRPr="001F18AF">
              <w:rPr>
                <w:rFonts w:ascii="Calibri" w:hAnsi="Calibri"/>
                <w:color w:val="000000"/>
                <w:sz w:val="18"/>
                <w:szCs w:val="18"/>
                <w:lang w:val="nn-NO"/>
              </w:rPr>
              <w:t>barnehager</w:t>
            </w:r>
            <w:proofErr w:type="spellEnd"/>
            <w:r w:rsidRPr="001F18AF">
              <w:rPr>
                <w:rFonts w:ascii="Calibri" w:hAnsi="Calibri"/>
                <w:color w:val="000000"/>
                <w:sz w:val="18"/>
                <w:szCs w:val="18"/>
                <w:lang w:val="nn-NO"/>
              </w:rPr>
              <w:t xml:space="preserve"> % av total</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lang w:val="nn-NO"/>
              </w:rPr>
            </w:pPr>
            <w:r w:rsidRPr="001F18AF">
              <w:rPr>
                <w:rFonts w:ascii="Calibri" w:hAnsi="Calibri"/>
                <w:color w:val="000000"/>
                <w:lang w:val="nn-NO"/>
              </w:rPr>
              <w:t> </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10,4</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11,8</w:t>
            </w:r>
          </w:p>
        </w:tc>
        <w:tc>
          <w:tcPr>
            <w:tcW w:w="103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11,1</w:t>
            </w:r>
          </w:p>
        </w:tc>
        <w:tc>
          <w:tcPr>
            <w:tcW w:w="1235"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13,2</w:t>
            </w:r>
          </w:p>
        </w:tc>
        <w:tc>
          <w:tcPr>
            <w:tcW w:w="1134"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14,7</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sz w:val="18"/>
                <w:szCs w:val="18"/>
              </w:rPr>
            </w:pPr>
            <w:r w:rsidRPr="001F18AF">
              <w:rPr>
                <w:rFonts w:ascii="Calibri" w:hAnsi="Calibri"/>
                <w:color w:val="000000"/>
                <w:sz w:val="18"/>
                <w:szCs w:val="18"/>
              </w:rPr>
              <w:t xml:space="preserve">Netto </w:t>
            </w:r>
            <w:proofErr w:type="spellStart"/>
            <w:r w:rsidRPr="001F18AF">
              <w:rPr>
                <w:rFonts w:ascii="Calibri" w:hAnsi="Calibri"/>
                <w:color w:val="000000"/>
                <w:sz w:val="18"/>
                <w:szCs w:val="18"/>
              </w:rPr>
              <w:t>driftsutg</w:t>
            </w:r>
            <w:proofErr w:type="spellEnd"/>
            <w:r w:rsidRPr="001F18AF">
              <w:rPr>
                <w:rFonts w:ascii="Calibri" w:hAnsi="Calibri"/>
                <w:color w:val="000000"/>
                <w:sz w:val="18"/>
                <w:szCs w:val="18"/>
              </w:rPr>
              <w:t>. barnehager pr barn 1-5år</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146117</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158517</w:t>
            </w:r>
          </w:p>
        </w:tc>
        <w:tc>
          <w:tcPr>
            <w:tcW w:w="103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142706</w:t>
            </w:r>
          </w:p>
        </w:tc>
        <w:tc>
          <w:tcPr>
            <w:tcW w:w="1235"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144270</w:t>
            </w:r>
          </w:p>
        </w:tc>
        <w:tc>
          <w:tcPr>
            <w:tcW w:w="1134"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139403</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sz w:val="18"/>
                <w:szCs w:val="18"/>
              </w:rPr>
            </w:pPr>
            <w:r w:rsidRPr="001F18AF">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rPr>
                <w:rFonts w:ascii="Calibri" w:hAnsi="Calibri"/>
                <w:color w:val="000000"/>
              </w:rPr>
            </w:pP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color w:val="000000"/>
              </w:rPr>
            </w:pPr>
          </w:p>
        </w:tc>
        <w:tc>
          <w:tcPr>
            <w:tcW w:w="103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sz w:val="18"/>
                <w:szCs w:val="18"/>
                <w:lang w:val="nn-NO"/>
              </w:rPr>
            </w:pPr>
            <w:r w:rsidRPr="001F18AF">
              <w:rPr>
                <w:rFonts w:ascii="Calibri" w:hAnsi="Calibri"/>
                <w:color w:val="000000"/>
                <w:sz w:val="18"/>
                <w:szCs w:val="18"/>
                <w:lang w:val="nn-NO"/>
              </w:rPr>
              <w:t xml:space="preserve"> Netto </w:t>
            </w:r>
            <w:proofErr w:type="spellStart"/>
            <w:r w:rsidRPr="001F18AF">
              <w:rPr>
                <w:rFonts w:ascii="Calibri" w:hAnsi="Calibri"/>
                <w:color w:val="000000"/>
                <w:sz w:val="18"/>
                <w:szCs w:val="18"/>
                <w:lang w:val="nn-NO"/>
              </w:rPr>
              <w:t>driftsutg.kultur</w:t>
            </w:r>
            <w:proofErr w:type="spellEnd"/>
            <w:r w:rsidRPr="001F18AF">
              <w:rPr>
                <w:rFonts w:ascii="Calibri" w:hAnsi="Calibri"/>
                <w:color w:val="000000"/>
                <w:sz w:val="18"/>
                <w:szCs w:val="18"/>
                <w:lang w:val="nn-NO"/>
              </w:rPr>
              <w:t xml:space="preserve"> i % av total </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lang w:val="nn-NO"/>
              </w:rPr>
            </w:pPr>
            <w:r w:rsidRPr="001F18AF">
              <w:rPr>
                <w:rFonts w:ascii="Calibri" w:hAnsi="Calibri"/>
                <w:color w:val="000000"/>
                <w:lang w:val="nn-NO"/>
              </w:rPr>
              <w:t> </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3,1</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3,2</w:t>
            </w:r>
          </w:p>
        </w:tc>
        <w:tc>
          <w:tcPr>
            <w:tcW w:w="103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4,2</w:t>
            </w:r>
          </w:p>
        </w:tc>
        <w:tc>
          <w:tcPr>
            <w:tcW w:w="1235"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3,6</w:t>
            </w:r>
          </w:p>
        </w:tc>
        <w:tc>
          <w:tcPr>
            <w:tcW w:w="1134"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3,9</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b/>
                <w:bCs/>
                <w:color w:val="000000"/>
              </w:rPr>
            </w:pPr>
            <w:r w:rsidRPr="001F18AF">
              <w:rPr>
                <w:rFonts w:ascii="Calibri" w:hAnsi="Calibri"/>
                <w:b/>
                <w:bCs/>
                <w:color w:val="000000"/>
              </w:rPr>
              <w:t>Utvalgte nøkkeltall for helse- og omsorgsetaten</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b/>
                <w:bCs/>
                <w:color w:val="000000"/>
              </w:rPr>
            </w:pPr>
            <w:r w:rsidRPr="001F18AF">
              <w:rPr>
                <w:rFonts w:ascii="Calibri" w:hAnsi="Calibri"/>
                <w:b/>
                <w:bCs/>
                <w:color w:val="000000"/>
              </w:rPr>
              <w:t> </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rPr>
                <w:rFonts w:ascii="Calibri" w:hAnsi="Calibri"/>
                <w:b/>
                <w:bCs/>
                <w:color w:val="000000"/>
              </w:rPr>
            </w:pPr>
            <w:r w:rsidRPr="001F18AF">
              <w:rPr>
                <w:rFonts w:ascii="Calibri" w:hAnsi="Calibri"/>
                <w:b/>
                <w:bCs/>
                <w:color w:val="000000"/>
              </w:rPr>
              <w:t> </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b/>
                <w:bCs/>
                <w:color w:val="000000"/>
              </w:rPr>
            </w:pP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D62A57" w:rsidRPr="001F18AF" w:rsidRDefault="00D62A57" w:rsidP="00D62A57">
            <w:pPr>
              <w:jc w:val="center"/>
              <w:rPr>
                <w:rFonts w:ascii="Calibri" w:hAnsi="Calibri"/>
                <w:b/>
                <w:bCs/>
                <w:color w:val="000000"/>
              </w:rPr>
            </w:pPr>
            <w:r>
              <w:rPr>
                <w:rFonts w:ascii="Calibri" w:hAnsi="Calibri"/>
                <w:b/>
                <w:bCs/>
                <w:color w:val="000000"/>
              </w:rPr>
              <w:t>2016</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sz w:val="18"/>
                <w:szCs w:val="18"/>
              </w:rPr>
            </w:pPr>
            <w:r w:rsidRPr="001F18AF">
              <w:rPr>
                <w:rFonts w:ascii="Calibri" w:hAnsi="Calibri"/>
                <w:color w:val="000000"/>
                <w:sz w:val="18"/>
                <w:szCs w:val="18"/>
              </w:rPr>
              <w:t xml:space="preserve">Netto </w:t>
            </w:r>
            <w:proofErr w:type="spellStart"/>
            <w:r w:rsidRPr="001F18AF">
              <w:rPr>
                <w:rFonts w:ascii="Calibri" w:hAnsi="Calibri"/>
                <w:color w:val="000000"/>
                <w:sz w:val="18"/>
                <w:szCs w:val="18"/>
              </w:rPr>
              <w:t>driftsutg.pleie</w:t>
            </w:r>
            <w:proofErr w:type="spellEnd"/>
            <w:r w:rsidRPr="001F18AF">
              <w:rPr>
                <w:rFonts w:ascii="Calibri" w:hAnsi="Calibri"/>
                <w:color w:val="000000"/>
                <w:sz w:val="18"/>
                <w:szCs w:val="18"/>
              </w:rPr>
              <w:t xml:space="preserve"> og omsorg, %av total</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jc w:val="right"/>
              <w:rPr>
                <w:rFonts w:ascii="Calibri" w:hAnsi="Calibri"/>
                <w:color w:val="000000"/>
              </w:rPr>
            </w:pPr>
            <w:r w:rsidRPr="001F18AF">
              <w:rPr>
                <w:rFonts w:ascii="Calibri" w:hAnsi="Calibri"/>
                <w:color w:val="000000"/>
              </w:rPr>
              <w:t>37,3</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34,7</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35,5</w:t>
            </w:r>
          </w:p>
        </w:tc>
        <w:tc>
          <w:tcPr>
            <w:tcW w:w="103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33,0</w:t>
            </w:r>
          </w:p>
        </w:tc>
        <w:tc>
          <w:tcPr>
            <w:tcW w:w="1235"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33,2</w:t>
            </w:r>
          </w:p>
        </w:tc>
        <w:tc>
          <w:tcPr>
            <w:tcW w:w="1134"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30,1</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sz w:val="18"/>
                <w:szCs w:val="18"/>
                <w:lang w:val="nn-NO"/>
              </w:rPr>
            </w:pPr>
            <w:r w:rsidRPr="001F18AF">
              <w:rPr>
                <w:rFonts w:ascii="Calibri" w:hAnsi="Calibri"/>
                <w:color w:val="000000"/>
                <w:sz w:val="18"/>
                <w:szCs w:val="18"/>
                <w:lang w:val="nn-NO"/>
              </w:rPr>
              <w:t xml:space="preserve">Netto driftsutg.pr </w:t>
            </w:r>
            <w:proofErr w:type="spellStart"/>
            <w:r w:rsidRPr="001F18AF">
              <w:rPr>
                <w:rFonts w:ascii="Calibri" w:hAnsi="Calibri"/>
                <w:color w:val="000000"/>
                <w:sz w:val="18"/>
                <w:szCs w:val="18"/>
                <w:lang w:val="nn-NO"/>
              </w:rPr>
              <w:t>innb.over</w:t>
            </w:r>
            <w:proofErr w:type="spellEnd"/>
            <w:r w:rsidRPr="001F18AF">
              <w:rPr>
                <w:rFonts w:ascii="Calibri" w:hAnsi="Calibri"/>
                <w:color w:val="000000"/>
                <w:sz w:val="18"/>
                <w:szCs w:val="18"/>
                <w:lang w:val="nn-NO"/>
              </w:rPr>
              <w:t xml:space="preserve"> 80 år</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jc w:val="right"/>
              <w:rPr>
                <w:rFonts w:ascii="Calibri" w:hAnsi="Calibri"/>
                <w:color w:val="000000"/>
              </w:rPr>
            </w:pPr>
            <w:r w:rsidRPr="001F18AF">
              <w:rPr>
                <w:rFonts w:ascii="Calibri" w:hAnsi="Calibri"/>
                <w:color w:val="000000"/>
              </w:rPr>
              <w:t>446312</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485277</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516079</w:t>
            </w:r>
          </w:p>
        </w:tc>
        <w:tc>
          <w:tcPr>
            <w:tcW w:w="103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403343</w:t>
            </w:r>
          </w:p>
        </w:tc>
        <w:tc>
          <w:tcPr>
            <w:tcW w:w="1235"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484417</w:t>
            </w:r>
          </w:p>
        </w:tc>
        <w:tc>
          <w:tcPr>
            <w:tcW w:w="1134"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394803</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color w:val="000000"/>
                <w:sz w:val="18"/>
                <w:szCs w:val="18"/>
              </w:rPr>
            </w:pPr>
            <w:r>
              <w:rPr>
                <w:rFonts w:ascii="Calibri" w:hAnsi="Calibri"/>
                <w:color w:val="000000"/>
                <w:sz w:val="18"/>
                <w:szCs w:val="18"/>
              </w:rPr>
              <w:t>Utgifter pr oppholdsdøgn i institusjon</w:t>
            </w:r>
          </w:p>
        </w:tc>
        <w:tc>
          <w:tcPr>
            <w:tcW w:w="99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3213</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3358</w:t>
            </w:r>
          </w:p>
        </w:tc>
        <w:tc>
          <w:tcPr>
            <w:tcW w:w="103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3431</w:t>
            </w:r>
          </w:p>
        </w:tc>
        <w:tc>
          <w:tcPr>
            <w:tcW w:w="1235"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3384</w:t>
            </w:r>
          </w:p>
        </w:tc>
        <w:tc>
          <w:tcPr>
            <w:tcW w:w="1134"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3251</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tcPr>
          <w:p w:rsidR="00D62A57" w:rsidRPr="00D547D3" w:rsidRDefault="00D62A57" w:rsidP="00D62A57">
            <w:pPr>
              <w:rPr>
                <w:rFonts w:ascii="Calibri" w:hAnsi="Calibri"/>
                <w:bCs/>
                <w:color w:val="000000"/>
                <w:sz w:val="18"/>
                <w:szCs w:val="18"/>
              </w:rPr>
            </w:pPr>
            <w:r w:rsidRPr="00D547D3">
              <w:rPr>
                <w:rFonts w:ascii="Calibri" w:hAnsi="Calibri"/>
                <w:bCs/>
                <w:color w:val="000000"/>
                <w:sz w:val="18"/>
                <w:szCs w:val="18"/>
              </w:rPr>
              <w:t>Andel plasser i skjerma enhet (demens)</w:t>
            </w:r>
          </w:p>
        </w:tc>
        <w:tc>
          <w:tcPr>
            <w:tcW w:w="99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b/>
                <w:bCs/>
                <w:color w:val="000000"/>
              </w:rPr>
            </w:pP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rPr>
                <w:rFonts w:ascii="Calibri" w:hAnsi="Calibri"/>
                <w:b/>
                <w:bCs/>
                <w:color w:val="000000"/>
              </w:rPr>
            </w:pP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D547D3" w:rsidRDefault="00D62A57" w:rsidP="00D62A57">
            <w:pPr>
              <w:jc w:val="right"/>
              <w:rPr>
                <w:rFonts w:ascii="Calibri" w:hAnsi="Calibri"/>
                <w:bCs/>
                <w:color w:val="000000"/>
              </w:rPr>
            </w:pPr>
            <w:r w:rsidRPr="00D547D3">
              <w:rPr>
                <w:rFonts w:ascii="Calibri" w:hAnsi="Calibri"/>
                <w:bCs/>
                <w:color w:val="000000"/>
              </w:rPr>
              <w:t>27,3</w:t>
            </w:r>
          </w:p>
        </w:tc>
        <w:tc>
          <w:tcPr>
            <w:tcW w:w="1033" w:type="dxa"/>
            <w:tcBorders>
              <w:top w:val="nil"/>
              <w:left w:val="nil"/>
              <w:bottom w:val="single" w:sz="4" w:space="0" w:color="auto"/>
              <w:right w:val="single" w:sz="4" w:space="0" w:color="auto"/>
            </w:tcBorders>
            <w:shd w:val="clear" w:color="auto" w:fill="auto"/>
            <w:noWrap/>
            <w:vAlign w:val="bottom"/>
          </w:tcPr>
          <w:p w:rsidR="00D62A57" w:rsidRPr="00D547D3" w:rsidRDefault="00D62A57" w:rsidP="00D62A57">
            <w:pPr>
              <w:jc w:val="right"/>
              <w:rPr>
                <w:rFonts w:ascii="Calibri" w:hAnsi="Calibri"/>
                <w:bCs/>
                <w:color w:val="000000"/>
              </w:rPr>
            </w:pPr>
            <w:r w:rsidRPr="00D547D3">
              <w:rPr>
                <w:rFonts w:ascii="Calibri" w:hAnsi="Calibri"/>
                <w:bCs/>
                <w:color w:val="000000"/>
              </w:rPr>
              <w:t>27,9</w:t>
            </w:r>
          </w:p>
        </w:tc>
        <w:tc>
          <w:tcPr>
            <w:tcW w:w="1235" w:type="dxa"/>
            <w:tcBorders>
              <w:top w:val="nil"/>
              <w:left w:val="nil"/>
              <w:bottom w:val="single" w:sz="4" w:space="0" w:color="auto"/>
              <w:right w:val="single" w:sz="4" w:space="0" w:color="auto"/>
            </w:tcBorders>
            <w:shd w:val="clear" w:color="auto" w:fill="auto"/>
            <w:noWrap/>
            <w:vAlign w:val="bottom"/>
          </w:tcPr>
          <w:p w:rsidR="00D62A57" w:rsidRPr="00D547D3" w:rsidRDefault="00D62A57" w:rsidP="00D62A57">
            <w:pPr>
              <w:jc w:val="right"/>
              <w:rPr>
                <w:rFonts w:ascii="Calibri" w:hAnsi="Calibri"/>
                <w:bCs/>
                <w:color w:val="000000"/>
              </w:rPr>
            </w:pPr>
            <w:r w:rsidRPr="00D547D3">
              <w:rPr>
                <w:rFonts w:ascii="Calibri" w:hAnsi="Calibri"/>
                <w:bCs/>
                <w:color w:val="000000"/>
              </w:rPr>
              <w:t>25,6</w:t>
            </w:r>
          </w:p>
        </w:tc>
        <w:tc>
          <w:tcPr>
            <w:tcW w:w="1134" w:type="dxa"/>
            <w:tcBorders>
              <w:top w:val="nil"/>
              <w:left w:val="nil"/>
              <w:bottom w:val="single" w:sz="4" w:space="0" w:color="auto"/>
              <w:right w:val="single" w:sz="4" w:space="0" w:color="auto"/>
            </w:tcBorders>
            <w:shd w:val="clear" w:color="auto" w:fill="auto"/>
            <w:noWrap/>
            <w:vAlign w:val="bottom"/>
          </w:tcPr>
          <w:p w:rsidR="00D62A57" w:rsidRPr="00D547D3" w:rsidRDefault="00D62A57" w:rsidP="00D62A57">
            <w:pPr>
              <w:jc w:val="right"/>
              <w:rPr>
                <w:rFonts w:ascii="Calibri" w:hAnsi="Calibri"/>
                <w:bCs/>
                <w:color w:val="000000"/>
              </w:rPr>
            </w:pPr>
            <w:r w:rsidRPr="00D547D3">
              <w:rPr>
                <w:rFonts w:ascii="Calibri" w:hAnsi="Calibri"/>
                <w:bCs/>
                <w:color w:val="000000"/>
              </w:rPr>
              <w:t>27,1</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b/>
                <w:bCs/>
                <w:color w:val="000000"/>
                <w:sz w:val="18"/>
                <w:szCs w:val="18"/>
              </w:rPr>
            </w:pPr>
            <w:r w:rsidRPr="001F18AF">
              <w:rPr>
                <w:rFonts w:ascii="Calibri" w:hAnsi="Calibri"/>
                <w:b/>
                <w:bCs/>
                <w:color w:val="000000"/>
                <w:sz w:val="18"/>
                <w:szCs w:val="18"/>
              </w:rPr>
              <w:t xml:space="preserve">Ant. mottakere av </w:t>
            </w:r>
            <w:proofErr w:type="spellStart"/>
            <w:r w:rsidRPr="001F18AF">
              <w:rPr>
                <w:rFonts w:ascii="Calibri" w:hAnsi="Calibri"/>
                <w:b/>
                <w:bCs/>
                <w:color w:val="000000"/>
                <w:sz w:val="18"/>
                <w:szCs w:val="18"/>
              </w:rPr>
              <w:t>hjemmetj</w:t>
            </w:r>
            <w:proofErr w:type="spellEnd"/>
            <w:r w:rsidRPr="001F18AF">
              <w:rPr>
                <w:rFonts w:ascii="Calibri" w:hAnsi="Calibri"/>
                <w:b/>
                <w:bCs/>
                <w:color w:val="000000"/>
                <w:sz w:val="18"/>
                <w:szCs w:val="18"/>
              </w:rPr>
              <w:t>. pr 1000 innb.:</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b/>
                <w:bCs/>
                <w:color w:val="000000"/>
              </w:rPr>
            </w:pPr>
            <w:r w:rsidRPr="001F18AF">
              <w:rPr>
                <w:rFonts w:ascii="Calibri" w:hAnsi="Calibri"/>
                <w:b/>
                <w:bCs/>
                <w:color w:val="000000"/>
              </w:rPr>
              <w:t> </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rPr>
                <w:rFonts w:ascii="Calibri" w:hAnsi="Calibri"/>
                <w:b/>
                <w:bCs/>
                <w:color w:val="000000"/>
              </w:rPr>
            </w:pP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b/>
                <w:bCs/>
                <w:color w:val="000000"/>
              </w:rPr>
            </w:pPr>
          </w:p>
        </w:tc>
        <w:tc>
          <w:tcPr>
            <w:tcW w:w="103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b/>
                <w:bCs/>
                <w:color w:val="000000"/>
              </w:rPr>
            </w:pPr>
          </w:p>
        </w:tc>
        <w:tc>
          <w:tcPr>
            <w:tcW w:w="1235"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b/>
                <w:bCs/>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b/>
                <w:bCs/>
                <w:color w:val="000000"/>
              </w:rPr>
            </w:pP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sz w:val="18"/>
                <w:szCs w:val="18"/>
              </w:rPr>
            </w:pPr>
            <w:r w:rsidRPr="001F18AF">
              <w:rPr>
                <w:rFonts w:ascii="Calibri" w:hAnsi="Calibri"/>
                <w:color w:val="000000"/>
                <w:sz w:val="18"/>
                <w:szCs w:val="18"/>
              </w:rPr>
              <w:t>under 67 år</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28</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29</w:t>
            </w:r>
          </w:p>
        </w:tc>
        <w:tc>
          <w:tcPr>
            <w:tcW w:w="103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25</w:t>
            </w:r>
          </w:p>
        </w:tc>
        <w:tc>
          <w:tcPr>
            <w:tcW w:w="1235"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20</w:t>
            </w:r>
          </w:p>
        </w:tc>
        <w:tc>
          <w:tcPr>
            <w:tcW w:w="1134"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20</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sz w:val="18"/>
                <w:szCs w:val="18"/>
              </w:rPr>
            </w:pPr>
            <w:r w:rsidRPr="001F18AF">
              <w:rPr>
                <w:rFonts w:ascii="Calibri" w:hAnsi="Calibri"/>
                <w:color w:val="000000"/>
                <w:sz w:val="18"/>
                <w:szCs w:val="18"/>
              </w:rPr>
              <w:t>67-79 år</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160</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148</w:t>
            </w:r>
          </w:p>
        </w:tc>
        <w:tc>
          <w:tcPr>
            <w:tcW w:w="103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92</w:t>
            </w:r>
          </w:p>
        </w:tc>
        <w:tc>
          <w:tcPr>
            <w:tcW w:w="1235"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74</w:t>
            </w:r>
          </w:p>
        </w:tc>
        <w:tc>
          <w:tcPr>
            <w:tcW w:w="1134"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67</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sz w:val="18"/>
                <w:szCs w:val="18"/>
              </w:rPr>
            </w:pPr>
            <w:r w:rsidRPr="001F18AF">
              <w:rPr>
                <w:rFonts w:ascii="Calibri" w:hAnsi="Calibri"/>
                <w:color w:val="000000"/>
                <w:sz w:val="18"/>
                <w:szCs w:val="18"/>
              </w:rPr>
              <w:t>80 +</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453</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500</w:t>
            </w:r>
          </w:p>
        </w:tc>
        <w:tc>
          <w:tcPr>
            <w:tcW w:w="103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394</w:t>
            </w:r>
          </w:p>
        </w:tc>
        <w:tc>
          <w:tcPr>
            <w:tcW w:w="1235"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356</w:t>
            </w:r>
          </w:p>
        </w:tc>
        <w:tc>
          <w:tcPr>
            <w:tcW w:w="1134"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320</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rPr>
                <w:rFonts w:ascii="Calibri" w:hAnsi="Calibri"/>
                <w:color w:val="000000"/>
              </w:rPr>
            </w:pPr>
            <w:r w:rsidRPr="001F18AF">
              <w:rPr>
                <w:rFonts w:ascii="Calibri" w:hAnsi="Calibri"/>
                <w:color w:val="000000"/>
              </w:rPr>
              <w:t> </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color w:val="000000"/>
              </w:rPr>
            </w:pPr>
          </w:p>
        </w:tc>
        <w:tc>
          <w:tcPr>
            <w:tcW w:w="103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r>
      <w:tr w:rsidR="00D62A57" w:rsidRPr="001F18AF" w:rsidTr="00E441E6">
        <w:trPr>
          <w:trHeight w:val="17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sz w:val="18"/>
                <w:szCs w:val="18"/>
              </w:rPr>
            </w:pPr>
            <w:r w:rsidRPr="001F18AF">
              <w:rPr>
                <w:rFonts w:ascii="Calibri" w:hAnsi="Calibri"/>
                <w:color w:val="000000"/>
                <w:sz w:val="18"/>
                <w:szCs w:val="18"/>
              </w:rPr>
              <w:t xml:space="preserve">Netto </w:t>
            </w:r>
            <w:proofErr w:type="spellStart"/>
            <w:r w:rsidRPr="001F18AF">
              <w:rPr>
                <w:rFonts w:ascii="Calibri" w:hAnsi="Calibri"/>
                <w:color w:val="000000"/>
                <w:sz w:val="18"/>
                <w:szCs w:val="18"/>
              </w:rPr>
              <w:t>driftsutg</w:t>
            </w:r>
            <w:proofErr w:type="spellEnd"/>
            <w:r w:rsidRPr="001F18AF">
              <w:rPr>
                <w:rFonts w:ascii="Calibri" w:hAnsi="Calibri"/>
                <w:color w:val="000000"/>
                <w:sz w:val="18"/>
                <w:szCs w:val="18"/>
              </w:rPr>
              <w:t xml:space="preserve"> sosialtjenesten i % av total</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1,4</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2,5</w:t>
            </w:r>
          </w:p>
        </w:tc>
        <w:tc>
          <w:tcPr>
            <w:tcW w:w="1033" w:type="dxa"/>
            <w:tcBorders>
              <w:top w:val="nil"/>
              <w:left w:val="nil"/>
              <w:bottom w:val="single" w:sz="4" w:space="0" w:color="auto"/>
              <w:right w:val="single" w:sz="4" w:space="0" w:color="auto"/>
            </w:tcBorders>
            <w:shd w:val="clear" w:color="auto" w:fill="auto"/>
            <w:noWrap/>
            <w:vAlign w:val="bottom"/>
          </w:tcPr>
          <w:p w:rsidR="00D62A57" w:rsidRDefault="00D62A57" w:rsidP="00D62A57">
            <w:pPr>
              <w:jc w:val="right"/>
              <w:rPr>
                <w:rFonts w:ascii="Calibri" w:hAnsi="Calibri"/>
                <w:color w:val="000000"/>
              </w:rPr>
            </w:pPr>
          </w:p>
          <w:p w:rsidR="00D62A57" w:rsidRPr="001F18AF" w:rsidRDefault="00D62A57" w:rsidP="00D62A57">
            <w:pPr>
              <w:jc w:val="right"/>
              <w:rPr>
                <w:rFonts w:ascii="Calibri" w:hAnsi="Calibri"/>
                <w:color w:val="000000"/>
              </w:rPr>
            </w:pPr>
            <w:r>
              <w:rPr>
                <w:rFonts w:ascii="Calibri" w:hAnsi="Calibri"/>
                <w:color w:val="000000"/>
              </w:rPr>
              <w:t>2,7</w:t>
            </w:r>
          </w:p>
        </w:tc>
        <w:tc>
          <w:tcPr>
            <w:tcW w:w="1235"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3,1</w:t>
            </w:r>
          </w:p>
        </w:tc>
        <w:tc>
          <w:tcPr>
            <w:tcW w:w="1134"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4,3</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sz w:val="18"/>
                <w:szCs w:val="18"/>
              </w:rPr>
            </w:pPr>
            <w:r w:rsidRPr="001F18AF">
              <w:rPr>
                <w:rFonts w:ascii="Calibri" w:hAnsi="Calibri"/>
                <w:color w:val="000000"/>
                <w:sz w:val="18"/>
                <w:szCs w:val="18"/>
              </w:rPr>
              <w:t xml:space="preserve">Netto </w:t>
            </w:r>
            <w:proofErr w:type="spellStart"/>
            <w:r w:rsidRPr="001F18AF">
              <w:rPr>
                <w:rFonts w:ascii="Calibri" w:hAnsi="Calibri"/>
                <w:color w:val="000000"/>
                <w:sz w:val="18"/>
                <w:szCs w:val="18"/>
              </w:rPr>
              <w:t>driftsutg</w:t>
            </w:r>
            <w:proofErr w:type="spellEnd"/>
            <w:r w:rsidRPr="001F18AF">
              <w:rPr>
                <w:rFonts w:ascii="Calibri" w:hAnsi="Calibri"/>
                <w:color w:val="000000"/>
                <w:sz w:val="18"/>
                <w:szCs w:val="18"/>
              </w:rPr>
              <w:t xml:space="preserve"> barnevern pr innbygger</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3253</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3255</w:t>
            </w:r>
          </w:p>
        </w:tc>
        <w:tc>
          <w:tcPr>
            <w:tcW w:w="103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2320</w:t>
            </w:r>
          </w:p>
        </w:tc>
        <w:tc>
          <w:tcPr>
            <w:tcW w:w="1235"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2110</w:t>
            </w:r>
          </w:p>
        </w:tc>
        <w:tc>
          <w:tcPr>
            <w:tcW w:w="1134"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1920</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sz w:val="18"/>
                <w:szCs w:val="18"/>
              </w:rPr>
            </w:pPr>
            <w:r w:rsidRPr="001F18AF">
              <w:rPr>
                <w:rFonts w:ascii="Calibri" w:hAnsi="Calibri"/>
                <w:color w:val="000000"/>
                <w:sz w:val="18"/>
                <w:szCs w:val="18"/>
              </w:rPr>
              <w:t xml:space="preserve">Andel barn med tiltak pr </w:t>
            </w:r>
            <w:proofErr w:type="spellStart"/>
            <w:r w:rsidRPr="001F18AF">
              <w:rPr>
                <w:rFonts w:ascii="Calibri" w:hAnsi="Calibri"/>
                <w:color w:val="000000"/>
                <w:sz w:val="18"/>
                <w:szCs w:val="18"/>
              </w:rPr>
              <w:t>innb</w:t>
            </w:r>
            <w:proofErr w:type="spellEnd"/>
            <w:r w:rsidRPr="001F18AF">
              <w:rPr>
                <w:rFonts w:ascii="Calibri" w:hAnsi="Calibri"/>
                <w:color w:val="000000"/>
                <w:sz w:val="18"/>
                <w:szCs w:val="18"/>
              </w:rPr>
              <w:t xml:space="preserve"> 0-22 år</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6,1</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7,4</w:t>
            </w:r>
          </w:p>
        </w:tc>
        <w:tc>
          <w:tcPr>
            <w:tcW w:w="103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p>
        </w:tc>
        <w:tc>
          <w:tcPr>
            <w:tcW w:w="1235"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4,2</w:t>
            </w:r>
          </w:p>
        </w:tc>
        <w:tc>
          <w:tcPr>
            <w:tcW w:w="1134"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3,8</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rPr>
                <w:rFonts w:ascii="Calibri" w:hAnsi="Calibri"/>
                <w:color w:val="000000"/>
              </w:rPr>
            </w:pPr>
            <w:r w:rsidRPr="001F18AF">
              <w:rPr>
                <w:rFonts w:ascii="Calibri" w:hAnsi="Calibri"/>
                <w:color w:val="000000"/>
              </w:rPr>
              <w:t> </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color w:val="000000"/>
              </w:rPr>
            </w:pPr>
          </w:p>
        </w:tc>
        <w:tc>
          <w:tcPr>
            <w:tcW w:w="103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b/>
                <w:bCs/>
                <w:color w:val="000000"/>
              </w:rPr>
            </w:pPr>
            <w:r w:rsidRPr="001F18AF">
              <w:rPr>
                <w:rFonts w:ascii="Calibri" w:hAnsi="Calibri"/>
                <w:b/>
                <w:bCs/>
                <w:color w:val="000000"/>
              </w:rPr>
              <w:t>Administrasjon og styring</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b/>
                <w:bCs/>
                <w:color w:val="000000"/>
              </w:rPr>
            </w:pPr>
            <w:r w:rsidRPr="001F18AF">
              <w:rPr>
                <w:rFonts w:ascii="Calibri" w:hAnsi="Calibri"/>
                <w:b/>
                <w:bCs/>
                <w:color w:val="000000"/>
              </w:rPr>
              <w:t> </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rPr>
                <w:rFonts w:ascii="Calibri" w:hAnsi="Calibri"/>
                <w:b/>
                <w:bCs/>
                <w:color w:val="000000"/>
              </w:rPr>
            </w:pPr>
            <w:r w:rsidRPr="001F18AF">
              <w:rPr>
                <w:rFonts w:ascii="Calibri" w:hAnsi="Calibri"/>
                <w:b/>
                <w:bCs/>
                <w:color w:val="000000"/>
              </w:rPr>
              <w:t> </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b/>
                <w:bCs/>
                <w:color w:val="000000"/>
              </w:rPr>
            </w:pPr>
          </w:p>
        </w:tc>
        <w:tc>
          <w:tcPr>
            <w:tcW w:w="103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b/>
                <w:bCs/>
                <w:color w:val="000000"/>
              </w:rPr>
            </w:pPr>
            <w:r w:rsidRPr="001F18AF">
              <w:rPr>
                <w:rFonts w:ascii="Calibri" w:hAnsi="Calibri"/>
                <w:b/>
                <w:bCs/>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b/>
                <w:bCs/>
                <w:color w:val="000000"/>
              </w:rPr>
            </w:pPr>
            <w:r w:rsidRPr="001F18AF">
              <w:rPr>
                <w:rFonts w:ascii="Calibri" w:hAnsi="Calibri"/>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b/>
                <w:bCs/>
                <w:color w:val="000000"/>
              </w:rPr>
            </w:pPr>
            <w:r w:rsidRPr="001F18AF">
              <w:rPr>
                <w:rFonts w:ascii="Calibri" w:hAnsi="Calibri"/>
                <w:b/>
                <w:bCs/>
                <w:color w:val="000000"/>
              </w:rPr>
              <w:t> </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sz w:val="18"/>
                <w:szCs w:val="18"/>
                <w:lang w:val="nn-NO"/>
              </w:rPr>
            </w:pPr>
            <w:r w:rsidRPr="001F18AF">
              <w:rPr>
                <w:rFonts w:ascii="Calibri" w:hAnsi="Calibri"/>
                <w:color w:val="000000"/>
                <w:sz w:val="18"/>
                <w:szCs w:val="18"/>
                <w:lang w:val="nn-NO"/>
              </w:rPr>
              <w:t xml:space="preserve">Netto </w:t>
            </w:r>
            <w:proofErr w:type="spellStart"/>
            <w:r w:rsidRPr="001F18AF">
              <w:rPr>
                <w:rFonts w:ascii="Calibri" w:hAnsi="Calibri"/>
                <w:color w:val="000000"/>
                <w:sz w:val="18"/>
                <w:szCs w:val="18"/>
                <w:lang w:val="nn-NO"/>
              </w:rPr>
              <w:t>driftsutg</w:t>
            </w:r>
            <w:proofErr w:type="spellEnd"/>
            <w:r w:rsidRPr="001F18AF">
              <w:rPr>
                <w:rFonts w:ascii="Calibri" w:hAnsi="Calibri"/>
                <w:color w:val="000000"/>
                <w:sz w:val="18"/>
                <w:szCs w:val="18"/>
                <w:lang w:val="nn-NO"/>
              </w:rPr>
              <w:t xml:space="preserve">. </w:t>
            </w:r>
            <w:proofErr w:type="spellStart"/>
            <w:r w:rsidRPr="001F18AF">
              <w:rPr>
                <w:rFonts w:ascii="Calibri" w:hAnsi="Calibri"/>
                <w:color w:val="000000"/>
                <w:sz w:val="18"/>
                <w:szCs w:val="18"/>
                <w:lang w:val="nn-NO"/>
              </w:rPr>
              <w:t>adm</w:t>
            </w:r>
            <w:proofErr w:type="spellEnd"/>
            <w:r w:rsidRPr="001F18AF">
              <w:rPr>
                <w:rFonts w:ascii="Calibri" w:hAnsi="Calibri"/>
                <w:color w:val="000000"/>
                <w:sz w:val="18"/>
                <w:szCs w:val="18"/>
                <w:lang w:val="nn-NO"/>
              </w:rPr>
              <w:t xml:space="preserve"> og styring i % av total</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lang w:val="nn-NO"/>
              </w:rPr>
            </w:pPr>
            <w:r w:rsidRPr="001F18AF">
              <w:rPr>
                <w:rFonts w:ascii="Calibri" w:hAnsi="Calibri"/>
                <w:color w:val="000000"/>
                <w:lang w:val="nn-NO"/>
              </w:rPr>
              <w:t> </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12,5</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11,7</w:t>
            </w:r>
          </w:p>
        </w:tc>
        <w:tc>
          <w:tcPr>
            <w:tcW w:w="103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11,2</w:t>
            </w:r>
          </w:p>
        </w:tc>
        <w:tc>
          <w:tcPr>
            <w:tcW w:w="1235"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8,3</w:t>
            </w:r>
          </w:p>
        </w:tc>
        <w:tc>
          <w:tcPr>
            <w:tcW w:w="1134"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7,3</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sz w:val="18"/>
                <w:szCs w:val="18"/>
              </w:rPr>
            </w:pPr>
            <w:r w:rsidRPr="001F18AF">
              <w:rPr>
                <w:rFonts w:ascii="Calibri" w:hAnsi="Calibri"/>
                <w:color w:val="000000"/>
                <w:sz w:val="18"/>
                <w:szCs w:val="18"/>
              </w:rPr>
              <w:t xml:space="preserve">Netto </w:t>
            </w:r>
            <w:proofErr w:type="spellStart"/>
            <w:r w:rsidRPr="001F18AF">
              <w:rPr>
                <w:rFonts w:ascii="Calibri" w:hAnsi="Calibri"/>
                <w:color w:val="000000"/>
                <w:sz w:val="18"/>
                <w:szCs w:val="18"/>
              </w:rPr>
              <w:t>driftsutg</w:t>
            </w:r>
            <w:proofErr w:type="spellEnd"/>
            <w:r w:rsidRPr="001F18AF">
              <w:rPr>
                <w:rFonts w:ascii="Calibri" w:hAnsi="Calibri"/>
                <w:color w:val="000000"/>
                <w:sz w:val="18"/>
                <w:szCs w:val="18"/>
              </w:rPr>
              <w:t xml:space="preserve"> </w:t>
            </w:r>
            <w:proofErr w:type="spellStart"/>
            <w:r w:rsidRPr="001F18AF">
              <w:rPr>
                <w:rFonts w:ascii="Calibri" w:hAnsi="Calibri"/>
                <w:color w:val="000000"/>
                <w:sz w:val="18"/>
                <w:szCs w:val="18"/>
              </w:rPr>
              <w:t>adm</w:t>
            </w:r>
            <w:proofErr w:type="spellEnd"/>
            <w:r w:rsidRPr="001F18AF">
              <w:rPr>
                <w:rFonts w:ascii="Calibri" w:hAnsi="Calibri"/>
                <w:color w:val="000000"/>
                <w:sz w:val="18"/>
                <w:szCs w:val="18"/>
              </w:rPr>
              <w:t xml:space="preserve"> og styring pr </w:t>
            </w:r>
            <w:proofErr w:type="spellStart"/>
            <w:r w:rsidRPr="001F18AF">
              <w:rPr>
                <w:rFonts w:ascii="Calibri" w:hAnsi="Calibri"/>
                <w:color w:val="000000"/>
                <w:sz w:val="18"/>
                <w:szCs w:val="18"/>
              </w:rPr>
              <w:t>innb</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66232</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69839</w:t>
            </w:r>
          </w:p>
        </w:tc>
        <w:tc>
          <w:tcPr>
            <w:tcW w:w="1033"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67187</w:t>
            </w:r>
          </w:p>
        </w:tc>
        <w:tc>
          <w:tcPr>
            <w:tcW w:w="1235"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59275</w:t>
            </w:r>
          </w:p>
        </w:tc>
        <w:tc>
          <w:tcPr>
            <w:tcW w:w="1134" w:type="dxa"/>
            <w:tcBorders>
              <w:top w:val="nil"/>
              <w:left w:val="nil"/>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55624</w:t>
            </w:r>
          </w:p>
        </w:tc>
      </w:tr>
      <w:tr w:rsidR="00D62A57" w:rsidRPr="001F18AF" w:rsidTr="00E441E6">
        <w:trPr>
          <w:trHeight w:val="72"/>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rPr>
                <w:rFonts w:ascii="Calibri" w:hAnsi="Calibri"/>
                <w:color w:val="000000"/>
              </w:rPr>
            </w:pPr>
            <w:r w:rsidRPr="001F18AF">
              <w:rPr>
                <w:rFonts w:ascii="Calibri" w:hAnsi="Calibri"/>
                <w:color w:val="000000"/>
              </w:rPr>
              <w:t> </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color w:val="000000"/>
              </w:rPr>
            </w:pPr>
          </w:p>
        </w:tc>
        <w:tc>
          <w:tcPr>
            <w:tcW w:w="103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r>
      <w:tr w:rsidR="00D62A57" w:rsidRPr="001F18AF" w:rsidTr="00D62A57">
        <w:trPr>
          <w:trHeight w:val="300"/>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b/>
                <w:bCs/>
                <w:color w:val="000000"/>
              </w:rPr>
            </w:pPr>
            <w:r w:rsidRPr="001F18AF">
              <w:rPr>
                <w:rFonts w:ascii="Calibri" w:hAnsi="Calibri"/>
                <w:b/>
                <w:bCs/>
                <w:color w:val="000000"/>
              </w:rPr>
              <w:t>Eiendom og forvaltning</w:t>
            </w:r>
          </w:p>
        </w:tc>
        <w:tc>
          <w:tcPr>
            <w:tcW w:w="99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b/>
                <w:bCs/>
                <w:color w:val="000000"/>
              </w:rPr>
            </w:pPr>
            <w:r w:rsidRPr="001F18AF">
              <w:rPr>
                <w:rFonts w:ascii="Calibri" w:hAnsi="Calibri"/>
                <w:b/>
                <w:bCs/>
                <w:color w:val="000000"/>
              </w:rPr>
              <w:t> </w:t>
            </w:r>
          </w:p>
        </w:tc>
        <w:tc>
          <w:tcPr>
            <w:tcW w:w="1134" w:type="dxa"/>
            <w:tcBorders>
              <w:top w:val="single" w:sz="4" w:space="0" w:color="auto"/>
              <w:left w:val="nil"/>
              <w:bottom w:val="single" w:sz="4" w:space="0" w:color="auto"/>
              <w:right w:val="single" w:sz="4" w:space="0" w:color="auto"/>
            </w:tcBorders>
            <w:vAlign w:val="bottom"/>
          </w:tcPr>
          <w:p w:rsidR="00D62A57" w:rsidRPr="001F18AF" w:rsidRDefault="00D62A57" w:rsidP="00D62A57">
            <w:pPr>
              <w:rPr>
                <w:rFonts w:ascii="Calibri" w:hAnsi="Calibri"/>
                <w:b/>
                <w:bCs/>
                <w:color w:val="000000"/>
              </w:rPr>
            </w:pPr>
            <w:r w:rsidRPr="001F18AF">
              <w:rPr>
                <w:rFonts w:ascii="Calibri" w:hAnsi="Calibri"/>
                <w:b/>
                <w:bCs/>
                <w:color w:val="000000"/>
              </w:rPr>
              <w:t> </w:t>
            </w:r>
          </w:p>
        </w:tc>
        <w:tc>
          <w:tcPr>
            <w:tcW w:w="1255" w:type="dxa"/>
            <w:tcBorders>
              <w:top w:val="nil"/>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b/>
                <w:bCs/>
                <w:color w:val="000000"/>
              </w:rPr>
            </w:pPr>
          </w:p>
        </w:tc>
        <w:tc>
          <w:tcPr>
            <w:tcW w:w="1033"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b/>
                <w:bCs/>
                <w:color w:val="000000"/>
              </w:rPr>
            </w:pPr>
            <w:r w:rsidRPr="001F18AF">
              <w:rPr>
                <w:rFonts w:ascii="Calibri" w:hAnsi="Calibri"/>
                <w:b/>
                <w:bCs/>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b/>
                <w:bCs/>
                <w:color w:val="000000"/>
              </w:rPr>
            </w:pPr>
            <w:r w:rsidRPr="001F18AF">
              <w:rPr>
                <w:rFonts w:ascii="Calibri" w:hAnsi="Calibri"/>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b/>
                <w:bCs/>
                <w:color w:val="000000"/>
              </w:rPr>
            </w:pPr>
            <w:r w:rsidRPr="001F18AF">
              <w:rPr>
                <w:rFonts w:ascii="Calibri" w:hAnsi="Calibri"/>
                <w:b/>
                <w:bCs/>
                <w:color w:val="000000"/>
              </w:rPr>
              <w:t> </w:t>
            </w:r>
          </w:p>
        </w:tc>
      </w:tr>
      <w:tr w:rsidR="00D62A57" w:rsidRPr="001F18AF" w:rsidTr="00D62A57">
        <w:trPr>
          <w:trHeight w:val="300"/>
        </w:trPr>
        <w:tc>
          <w:tcPr>
            <w:tcW w:w="3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sz w:val="18"/>
                <w:szCs w:val="18"/>
                <w:lang w:val="nn-NO"/>
              </w:rPr>
            </w:pPr>
            <w:r w:rsidRPr="001F18AF">
              <w:rPr>
                <w:rFonts w:ascii="Calibri" w:hAnsi="Calibri"/>
                <w:color w:val="000000"/>
                <w:sz w:val="18"/>
                <w:szCs w:val="18"/>
                <w:lang w:val="nn-NO"/>
              </w:rPr>
              <w:t xml:space="preserve">Samla areal på formålsbygg, m2 </w:t>
            </w:r>
            <w:proofErr w:type="spellStart"/>
            <w:r w:rsidRPr="001F18AF">
              <w:rPr>
                <w:rFonts w:ascii="Calibri" w:hAnsi="Calibri"/>
                <w:color w:val="000000"/>
                <w:sz w:val="18"/>
                <w:szCs w:val="18"/>
                <w:lang w:val="nn-NO"/>
              </w:rPr>
              <w:t>pr</w:t>
            </w:r>
            <w:proofErr w:type="spellEnd"/>
            <w:r w:rsidRPr="001F18AF">
              <w:rPr>
                <w:rFonts w:ascii="Calibri" w:hAnsi="Calibri"/>
                <w:color w:val="000000"/>
                <w:sz w:val="18"/>
                <w:szCs w:val="18"/>
                <w:lang w:val="nn-NO"/>
              </w:rPr>
              <w:t xml:space="preserve"> </w:t>
            </w:r>
            <w:proofErr w:type="spellStart"/>
            <w:r w:rsidRPr="001F18AF">
              <w:rPr>
                <w:rFonts w:ascii="Calibri" w:hAnsi="Calibri"/>
                <w:color w:val="000000"/>
                <w:sz w:val="18"/>
                <w:szCs w:val="18"/>
                <w:lang w:val="nn-NO"/>
              </w:rPr>
              <w:t>innnb</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lang w:val="nn-NO"/>
              </w:rPr>
            </w:pPr>
            <w:r w:rsidRPr="001F18AF">
              <w:rPr>
                <w:rFonts w:ascii="Calibri" w:hAnsi="Calibri"/>
                <w:color w:val="000000"/>
                <w:lang w:val="nn-NO"/>
              </w:rPr>
              <w:t> </w:t>
            </w:r>
          </w:p>
        </w:tc>
        <w:tc>
          <w:tcPr>
            <w:tcW w:w="1134" w:type="dxa"/>
            <w:tcBorders>
              <w:top w:val="single" w:sz="4" w:space="0" w:color="auto"/>
              <w:left w:val="single" w:sz="4" w:space="0" w:color="auto"/>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7,4</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10,7</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jc w:val="right"/>
              <w:rPr>
                <w:rFonts w:ascii="Calibri" w:hAnsi="Calibri"/>
                <w:color w:val="000000"/>
              </w:rPr>
            </w:pPr>
            <w:r>
              <w:rPr>
                <w:rFonts w:ascii="Calibri" w:hAnsi="Calibri"/>
                <w:color w:val="000000"/>
              </w:rPr>
              <w:t>7,5</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jc w:val="right"/>
              <w:rPr>
                <w:rFonts w:ascii="Calibri" w:hAnsi="Calibri"/>
                <w:color w:val="000000"/>
              </w:rPr>
            </w:pPr>
            <w:r>
              <w:rPr>
                <w:rFonts w:ascii="Calibri" w:hAnsi="Calibri"/>
                <w:color w:val="000000"/>
              </w:rPr>
              <w:t>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jc w:val="right"/>
              <w:rPr>
                <w:rFonts w:ascii="Calibri" w:hAnsi="Calibri"/>
                <w:color w:val="000000"/>
              </w:rPr>
            </w:pPr>
            <w:r>
              <w:rPr>
                <w:rFonts w:ascii="Calibri" w:hAnsi="Calibri"/>
                <w:color w:val="000000"/>
              </w:rPr>
              <w:t>4,0</w:t>
            </w:r>
          </w:p>
        </w:tc>
      </w:tr>
      <w:tr w:rsidR="00D62A57" w:rsidRPr="001F18AF" w:rsidTr="00D62A57">
        <w:trPr>
          <w:trHeight w:val="300"/>
        </w:trPr>
        <w:tc>
          <w:tcPr>
            <w:tcW w:w="3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sz w:val="18"/>
                <w:szCs w:val="18"/>
              </w:rPr>
            </w:pPr>
            <w:proofErr w:type="spellStart"/>
            <w:r w:rsidRPr="001F18AF">
              <w:rPr>
                <w:rFonts w:ascii="Calibri" w:hAnsi="Calibri"/>
                <w:color w:val="000000"/>
                <w:sz w:val="18"/>
                <w:szCs w:val="18"/>
              </w:rPr>
              <w:t>Utg</w:t>
            </w:r>
            <w:proofErr w:type="spellEnd"/>
            <w:r w:rsidRPr="001F18AF">
              <w:rPr>
                <w:rFonts w:ascii="Calibri" w:hAnsi="Calibri"/>
                <w:color w:val="000000"/>
                <w:sz w:val="18"/>
                <w:szCs w:val="18"/>
              </w:rPr>
              <w:t xml:space="preserve"> til vedlikehold pr m2</w:t>
            </w:r>
            <w:r>
              <w:rPr>
                <w:rFonts w:ascii="Calibri" w:hAnsi="Calibri"/>
                <w:color w:val="000000"/>
                <w:sz w:val="18"/>
                <w:szCs w:val="18"/>
              </w:rPr>
              <w:t xml:space="preserve"> (</w:t>
            </w:r>
            <w:proofErr w:type="spellStart"/>
            <w:r>
              <w:rPr>
                <w:rFonts w:ascii="Calibri" w:hAnsi="Calibri"/>
                <w:color w:val="000000"/>
                <w:sz w:val="18"/>
                <w:szCs w:val="18"/>
              </w:rPr>
              <w:t>komm.eiendom</w:t>
            </w:r>
            <w:proofErr w:type="spellEnd"/>
            <w:r>
              <w:rPr>
                <w:rFonts w:ascii="Calibri" w:hAnsi="Calibri"/>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rPr>
                <w:rFonts w:ascii="Calibri" w:hAnsi="Calibri"/>
                <w:color w:val="000000"/>
              </w:rPr>
            </w:pPr>
            <w:r w:rsidRPr="001F18AF">
              <w:rPr>
                <w:rFonts w:ascii="Calibri" w:hAnsi="Calibri"/>
                <w:color w:val="000000"/>
              </w:rPr>
              <w:t> </w:t>
            </w:r>
          </w:p>
        </w:tc>
        <w:tc>
          <w:tcPr>
            <w:tcW w:w="1134" w:type="dxa"/>
            <w:tcBorders>
              <w:top w:val="single" w:sz="4" w:space="0" w:color="auto"/>
              <w:left w:val="single" w:sz="4" w:space="0" w:color="auto"/>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88</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66</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jc w:val="right"/>
              <w:rPr>
                <w:rFonts w:ascii="Calibri" w:hAnsi="Calibri"/>
                <w:color w:val="000000"/>
              </w:rPr>
            </w:pPr>
            <w:r>
              <w:rPr>
                <w:rFonts w:ascii="Calibri" w:hAnsi="Calibri"/>
                <w:color w:val="000000"/>
              </w:rPr>
              <w:t>112</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jc w:val="right"/>
              <w:rPr>
                <w:rFonts w:ascii="Calibri" w:hAnsi="Calibri"/>
                <w:color w:val="000000"/>
              </w:rPr>
            </w:pPr>
            <w:r>
              <w:rPr>
                <w:rFonts w:ascii="Calibri" w:hAnsi="Calibri"/>
                <w:color w:val="000000"/>
              </w:rPr>
              <w:t>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A57" w:rsidRPr="001F18AF" w:rsidRDefault="00D62A57" w:rsidP="00D62A57">
            <w:pPr>
              <w:jc w:val="right"/>
              <w:rPr>
                <w:rFonts w:ascii="Calibri" w:hAnsi="Calibri"/>
                <w:color w:val="000000"/>
              </w:rPr>
            </w:pPr>
            <w:r>
              <w:rPr>
                <w:rFonts w:ascii="Calibri" w:hAnsi="Calibri"/>
                <w:color w:val="000000"/>
              </w:rPr>
              <w:t>98</w:t>
            </w:r>
          </w:p>
        </w:tc>
      </w:tr>
      <w:tr w:rsidR="00D62A57" w:rsidRPr="001F18AF" w:rsidTr="00D62A57">
        <w:trPr>
          <w:trHeight w:val="300"/>
        </w:trPr>
        <w:tc>
          <w:tcPr>
            <w:tcW w:w="3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02045E" w:rsidRDefault="00D62A57" w:rsidP="00D62A57">
            <w:pPr>
              <w:rPr>
                <w:rFonts w:ascii="Calibri" w:hAnsi="Calibri"/>
                <w:b/>
                <w:color w:val="000000"/>
              </w:rPr>
            </w:pPr>
            <w:r w:rsidRPr="0002045E">
              <w:rPr>
                <w:rFonts w:ascii="Calibri" w:hAnsi="Calibri"/>
                <w:b/>
                <w:color w:val="000000"/>
              </w:rPr>
              <w:t>Kirke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p>
        </w:tc>
      </w:tr>
      <w:tr w:rsidR="00D62A57" w:rsidRPr="001F18AF" w:rsidTr="00D62A57">
        <w:trPr>
          <w:trHeight w:val="300"/>
        </w:trPr>
        <w:tc>
          <w:tcPr>
            <w:tcW w:w="3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color w:val="000000"/>
                <w:sz w:val="18"/>
                <w:szCs w:val="18"/>
              </w:rPr>
            </w:pPr>
            <w:r>
              <w:rPr>
                <w:rFonts w:ascii="Calibri" w:hAnsi="Calibri"/>
                <w:color w:val="000000"/>
                <w:sz w:val="18"/>
                <w:szCs w:val="18"/>
              </w:rPr>
              <w:t xml:space="preserve">Netto </w:t>
            </w:r>
            <w:proofErr w:type="spellStart"/>
            <w:r>
              <w:rPr>
                <w:rFonts w:ascii="Calibri" w:hAnsi="Calibri"/>
                <w:color w:val="000000"/>
                <w:sz w:val="18"/>
                <w:szCs w:val="18"/>
              </w:rPr>
              <w:t>driftsutg</w:t>
            </w:r>
            <w:proofErr w:type="spellEnd"/>
            <w:r>
              <w:rPr>
                <w:rFonts w:ascii="Calibri" w:hAnsi="Calibri"/>
                <w:color w:val="000000"/>
                <w:sz w:val="18"/>
                <w:szCs w:val="18"/>
              </w:rPr>
              <w:t xml:space="preserve"> i % av total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1,4</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1,3</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1,4</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1,1</w:t>
            </w:r>
          </w:p>
        </w:tc>
      </w:tr>
      <w:tr w:rsidR="00D62A57" w:rsidRPr="001F18AF" w:rsidTr="00D62A57">
        <w:trPr>
          <w:trHeight w:val="300"/>
        </w:trPr>
        <w:tc>
          <w:tcPr>
            <w:tcW w:w="3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color w:val="000000"/>
                <w:sz w:val="18"/>
                <w:szCs w:val="18"/>
              </w:rPr>
            </w:pPr>
            <w:r>
              <w:rPr>
                <w:rFonts w:ascii="Calibri" w:hAnsi="Calibri"/>
                <w:color w:val="000000"/>
                <w:sz w:val="18"/>
                <w:szCs w:val="18"/>
              </w:rPr>
              <w:t xml:space="preserve">Netto </w:t>
            </w:r>
            <w:proofErr w:type="spellStart"/>
            <w:r>
              <w:rPr>
                <w:rFonts w:ascii="Calibri" w:hAnsi="Calibri"/>
                <w:color w:val="000000"/>
                <w:sz w:val="18"/>
                <w:szCs w:val="18"/>
              </w:rPr>
              <w:t>driftsutg</w:t>
            </w:r>
            <w:proofErr w:type="spellEnd"/>
            <w:r>
              <w:rPr>
                <w:rFonts w:ascii="Calibri" w:hAnsi="Calibri"/>
                <w:color w:val="000000"/>
                <w:sz w:val="18"/>
                <w:szCs w:val="18"/>
              </w:rPr>
              <w:t xml:space="preserve"> pr </w:t>
            </w:r>
            <w:proofErr w:type="spellStart"/>
            <w:r>
              <w:rPr>
                <w:rFonts w:ascii="Calibri" w:hAnsi="Calibri"/>
                <w:color w:val="000000"/>
                <w:sz w:val="18"/>
                <w:szCs w:val="18"/>
              </w:rPr>
              <w:t>innb</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891</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893</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934</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572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563</w:t>
            </w:r>
          </w:p>
        </w:tc>
      </w:tr>
      <w:tr w:rsidR="00D62A57" w:rsidRPr="001F18AF" w:rsidTr="00D62A57">
        <w:trPr>
          <w:trHeight w:val="300"/>
        </w:trPr>
        <w:tc>
          <w:tcPr>
            <w:tcW w:w="3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color w:val="000000"/>
                <w:sz w:val="18"/>
                <w:szCs w:val="18"/>
              </w:rPr>
            </w:pPr>
            <w:r>
              <w:rPr>
                <w:rFonts w:ascii="Calibri" w:hAnsi="Calibri"/>
                <w:color w:val="000000"/>
                <w:sz w:val="18"/>
                <w:szCs w:val="18"/>
              </w:rPr>
              <w:t>Ant. sysselsatte pr 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rPr>
                <w:rFonts w:ascii="Calibri" w:hAnsi="Calibri"/>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D62A57" w:rsidRPr="001F18AF" w:rsidRDefault="00D62A57" w:rsidP="00D62A57">
            <w:pPr>
              <w:jc w:val="right"/>
              <w:rPr>
                <w:rFonts w:ascii="Calibri" w:hAnsi="Calibri"/>
                <w:color w:val="000000"/>
              </w:rPr>
            </w:pPr>
            <w:r>
              <w:rPr>
                <w:rFonts w:ascii="Calibri" w:hAnsi="Calibri"/>
                <w:color w:val="000000"/>
              </w:rPr>
              <w:t>2,1</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3,4</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1,9</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A57" w:rsidRPr="001F18AF" w:rsidRDefault="00D62A57" w:rsidP="00D62A57">
            <w:pPr>
              <w:jc w:val="right"/>
              <w:rPr>
                <w:rFonts w:ascii="Calibri" w:hAnsi="Calibri"/>
                <w:color w:val="000000"/>
              </w:rPr>
            </w:pPr>
            <w:r>
              <w:rPr>
                <w:rFonts w:ascii="Calibri" w:hAnsi="Calibri"/>
                <w:color w:val="000000"/>
              </w:rPr>
              <w:t>1,1</w:t>
            </w:r>
          </w:p>
        </w:tc>
      </w:tr>
    </w:tbl>
    <w:p w:rsidR="00D62A57" w:rsidRDefault="00D62A57" w:rsidP="00D62A57"/>
    <w:p w:rsidR="00D62A57" w:rsidRDefault="00D62A57" w:rsidP="00D62A57">
      <w:r>
        <w:t>Hvilken informasjon kan man trekke ut av tallene?</w:t>
      </w:r>
    </w:p>
    <w:p w:rsidR="00D62A57" w:rsidRDefault="00D62A57" w:rsidP="00D62A57">
      <w:pPr>
        <w:pStyle w:val="Listeavsnitt"/>
        <w:numPr>
          <w:ilvl w:val="0"/>
          <w:numId w:val="3"/>
        </w:numPr>
        <w:spacing w:after="200" w:line="276" w:lineRule="auto"/>
        <w:contextualSpacing/>
      </w:pPr>
      <w:r>
        <w:t>Kultur- og undervisningsetaten driver svært effektivt. Til tross for at vi har små enheter på Arnøya, er nivået under landsgjennomsnittet. Også kostnad pr elev er gått ned. Når det gjelder spesialundervisning, er nivået på antall timer i forhold til totalen ikke langt unna landssnittet, men antallet elever som får tildelt timer er svært høgt. Det er nærliggende å spørre seg om skillet mellom tilpassa undervisning og spesialundervisning er skarpt nok. Størstedelen av timene gis på mellomtrinnet. Settes tiltak for seint i gang?</w:t>
      </w:r>
    </w:p>
    <w:p w:rsidR="00D62A57" w:rsidRDefault="00D62A57" w:rsidP="00D62A57">
      <w:pPr>
        <w:pStyle w:val="Listeavsnitt"/>
        <w:numPr>
          <w:ilvl w:val="0"/>
          <w:numId w:val="3"/>
        </w:numPr>
        <w:spacing w:after="200" w:line="276" w:lineRule="auto"/>
        <w:contextualSpacing/>
      </w:pPr>
      <w:r>
        <w:t xml:space="preserve">Skjervøy bruker mindre del av totalbudsjettet på barnehager sett i forhold til landet og Troms, men antallet barn hos oss er såpass lavt at det gir en </w:t>
      </w:r>
      <w:proofErr w:type="spellStart"/>
      <w:r>
        <w:t>høgere</w:t>
      </w:r>
      <w:proofErr w:type="spellEnd"/>
      <w:r>
        <w:t xml:space="preserve"> «stykkpris». </w:t>
      </w:r>
      <w:proofErr w:type="spellStart"/>
      <w:r>
        <w:t>Driftsutg</w:t>
      </w:r>
      <w:proofErr w:type="spellEnd"/>
      <w:r>
        <w:t xml:space="preserve">. pr barn forventes å </w:t>
      </w:r>
      <w:proofErr w:type="spellStart"/>
      <w:r>
        <w:t>gå ned</w:t>
      </w:r>
      <w:proofErr w:type="spellEnd"/>
      <w:r>
        <w:t xml:space="preserve"> når barnehagen på Prestegårdsjorda er i drift. Utviklinga i barnetallet på Arnøya setter også premisser for hvordan barnehagetilbudet der skal gis i framtida. </w:t>
      </w:r>
    </w:p>
    <w:p w:rsidR="00D62A57" w:rsidRDefault="00D62A57" w:rsidP="00D62A57">
      <w:pPr>
        <w:pStyle w:val="Listeavsnitt"/>
        <w:numPr>
          <w:ilvl w:val="0"/>
          <w:numId w:val="3"/>
        </w:numPr>
        <w:spacing w:after="200" w:line="276" w:lineRule="auto"/>
        <w:contextualSpacing/>
      </w:pPr>
      <w:r>
        <w:t>Vi bruker mindre del av totalt driftsbudsjett på kultur enn sammenlignbare kommuner, fylket og landet.</w:t>
      </w:r>
    </w:p>
    <w:p w:rsidR="00D62A57" w:rsidRDefault="00D62A57" w:rsidP="00D62A57">
      <w:pPr>
        <w:pStyle w:val="Listeavsnitt"/>
        <w:numPr>
          <w:ilvl w:val="0"/>
          <w:numId w:val="3"/>
        </w:numPr>
        <w:spacing w:after="200" w:line="276" w:lineRule="auto"/>
        <w:contextualSpacing/>
      </w:pPr>
      <w:r>
        <w:t xml:space="preserve">Andelen driftsutgifter til pleie og omsorg har økt fra 2014 og er noe </w:t>
      </w:r>
      <w:proofErr w:type="spellStart"/>
      <w:r>
        <w:t>høgere</w:t>
      </w:r>
      <w:proofErr w:type="spellEnd"/>
      <w:r>
        <w:t xml:space="preserve"> enn fylket og landet. Når det gjelder drift av institusjonene, er forskjellene små. Siden det har vært en del fokus på antall plasser i avd. for demens, er tall for dette tatt med. Her er Skjervøy på linje med landssnittet og snitter for </w:t>
      </w:r>
      <w:proofErr w:type="spellStart"/>
      <w:r>
        <w:t>kostragruppe</w:t>
      </w:r>
      <w:proofErr w:type="spellEnd"/>
      <w:r>
        <w:t xml:space="preserve"> 3.</w:t>
      </w:r>
    </w:p>
    <w:p w:rsidR="00D62A57" w:rsidRDefault="00D62A57" w:rsidP="00D62A57">
      <w:pPr>
        <w:pStyle w:val="Listeavsnitt"/>
        <w:numPr>
          <w:ilvl w:val="0"/>
          <w:numId w:val="3"/>
        </w:numPr>
        <w:spacing w:after="200" w:line="276" w:lineRule="auto"/>
        <w:contextualSpacing/>
      </w:pPr>
      <w:r>
        <w:t xml:space="preserve">Skjervøy kommune har lenge hatt fokus på at framtidas eldreomsorg i stor grad må gis som hjemmetjeneste i stedet for institusjon. Det kan se ut som vi har en veldig lav terskel for å gi hjemmetjenester. Hos oss for dobbelt så stor andel eldre i alderen 67-79 år hjemmetjenester sammenligna med Troms-nivået. Forskjellen i alle aldersgrupper er så stor at det må justeres ned. Med framtidas store pensjonistgrupper er det ikke bærekraftig å gi et så bredt tilbud. Det er nå vedtatt kriterier for tildeling av helsetjenester, og det må forventes at terskelen for når man får innvilga tjenester og på hvilke nivå tjenesten gis, må justeres. </w:t>
      </w:r>
    </w:p>
    <w:p w:rsidR="00D62A57" w:rsidRDefault="00D62A57" w:rsidP="00D62A57">
      <w:pPr>
        <w:pStyle w:val="Listeavsnitt"/>
        <w:numPr>
          <w:ilvl w:val="0"/>
          <w:numId w:val="3"/>
        </w:numPr>
        <w:spacing w:after="200" w:line="276" w:lineRule="auto"/>
        <w:contextualSpacing/>
      </w:pPr>
      <w:r>
        <w:t>Vi har lavere andel driftsutgifter innen sosialtjenesten – i forhold til nasjonalt nivå er forskjellen betydelig.</w:t>
      </w:r>
    </w:p>
    <w:p w:rsidR="00D62A57" w:rsidRDefault="00D62A57" w:rsidP="00D62A57">
      <w:pPr>
        <w:pStyle w:val="Listeavsnitt"/>
        <w:numPr>
          <w:ilvl w:val="0"/>
          <w:numId w:val="3"/>
        </w:numPr>
        <w:spacing w:after="200" w:line="276" w:lineRule="auto"/>
        <w:contextualSpacing/>
      </w:pPr>
      <w:r>
        <w:t xml:space="preserve">Vi ser at driftsutgifter til barnevern er merkbart </w:t>
      </w:r>
      <w:proofErr w:type="spellStart"/>
      <w:r>
        <w:t>høgere</w:t>
      </w:r>
      <w:proofErr w:type="spellEnd"/>
      <w:r>
        <w:t xml:space="preserve"> I Skjervøy, noe som henger sammen med antall barn med tiltak.</w:t>
      </w:r>
    </w:p>
    <w:p w:rsidR="00D62A57" w:rsidRDefault="00D62A57" w:rsidP="00D62A57">
      <w:pPr>
        <w:pStyle w:val="Listeavsnitt"/>
        <w:numPr>
          <w:ilvl w:val="0"/>
          <w:numId w:val="3"/>
        </w:numPr>
        <w:spacing w:after="200" w:line="276" w:lineRule="auto"/>
        <w:contextualSpacing/>
      </w:pPr>
      <w:r>
        <w:t xml:space="preserve">Driftsutgifter til administrasjon og styring er litt over nivået som for andre gruppe 3-kommuner, og markant </w:t>
      </w:r>
      <w:proofErr w:type="spellStart"/>
      <w:r>
        <w:t>høgere</w:t>
      </w:r>
      <w:proofErr w:type="spellEnd"/>
      <w:r>
        <w:t xml:space="preserve"> enn fylket og ladet. Det er et forventa bilde, da administrativ oppgavemengde ikke står i proporsjonalt forhold til innbyggertall. </w:t>
      </w:r>
    </w:p>
    <w:p w:rsidR="00D62A57" w:rsidRDefault="00D62A57" w:rsidP="00D62A57">
      <w:pPr>
        <w:pStyle w:val="Listeavsnitt"/>
        <w:numPr>
          <w:ilvl w:val="0"/>
          <w:numId w:val="3"/>
        </w:numPr>
        <w:spacing w:after="200" w:line="276" w:lineRule="auto"/>
        <w:contextualSpacing/>
      </w:pPr>
      <w:r>
        <w:t>Innenfor eiendom og forvaltning viser tallene at vi ligger noe over Troms-nivået i forhold til m</w:t>
      </w:r>
      <w:r w:rsidRPr="00AF66F5">
        <w:rPr>
          <w:vertAlign w:val="superscript"/>
        </w:rPr>
        <w:t>2</w:t>
      </w:r>
      <w:r>
        <w:t xml:space="preserve"> pr innbygger. Vedlikeholdsutgiftene ser svært lave ut, så her er spørsmålet om det er feilrapportering. Vi har et stort vedlikeholdsetterslep, men at differansen til gruppe 3-kommunene skulle være så stor, er vel heller tvilsom.</w:t>
      </w:r>
    </w:p>
    <w:p w:rsidR="00D62A57" w:rsidRDefault="00D62A57" w:rsidP="00D62A57">
      <w:pPr>
        <w:pStyle w:val="Listeavsnitt"/>
        <w:numPr>
          <w:ilvl w:val="0"/>
          <w:numId w:val="3"/>
        </w:numPr>
        <w:spacing w:after="200" w:line="276" w:lineRule="auto"/>
        <w:contextualSpacing/>
      </w:pPr>
      <w:r>
        <w:t xml:space="preserve">Bemanning innenfor kirke er markant </w:t>
      </w:r>
      <w:proofErr w:type="spellStart"/>
      <w:r>
        <w:t>høgere</w:t>
      </w:r>
      <w:proofErr w:type="spellEnd"/>
      <w:r>
        <w:t xml:space="preserve"> i Skjervøy – og har økt siden 2014.</w:t>
      </w:r>
    </w:p>
    <w:p w:rsidR="00592DE0" w:rsidRDefault="00592DE0" w:rsidP="003732DF"/>
    <w:p w:rsidR="00592DE0" w:rsidRDefault="00592DE0" w:rsidP="00D44DAB">
      <w:pPr>
        <w:pStyle w:val="Overskrift1"/>
        <w:numPr>
          <w:ilvl w:val="0"/>
          <w:numId w:val="1"/>
        </w:numPr>
      </w:pPr>
      <w:bookmarkStart w:id="18" w:name="_Toc497893552"/>
      <w:r>
        <w:lastRenderedPageBreak/>
        <w:t>Kommunestyrets vedtak og kulepunkter</w:t>
      </w:r>
      <w:bookmarkEnd w:id="18"/>
    </w:p>
    <w:p w:rsidR="009A2D29" w:rsidRPr="009A2D29" w:rsidRDefault="009A2D29" w:rsidP="009A2D29">
      <w:r>
        <w:t xml:space="preserve">Ikke vedtatt </w:t>
      </w:r>
      <w:r w:rsidR="00E441E6">
        <w:t xml:space="preserve">av kommunestyret </w:t>
      </w:r>
      <w:bookmarkStart w:id="19" w:name="_GoBack"/>
      <w:bookmarkEnd w:id="19"/>
      <w:r>
        <w:t>enda.</w:t>
      </w:r>
    </w:p>
    <w:p w:rsidR="00D62A57" w:rsidRDefault="00D62A57" w:rsidP="00D62A57">
      <w:pPr>
        <w:pStyle w:val="Overskrift1"/>
      </w:pPr>
    </w:p>
    <w:p w:rsidR="00D62A57" w:rsidRDefault="00D62A57" w:rsidP="00D62A57">
      <w:pPr>
        <w:pStyle w:val="Overskrift1"/>
        <w:numPr>
          <w:ilvl w:val="0"/>
          <w:numId w:val="1"/>
        </w:numPr>
      </w:pPr>
      <w:bookmarkStart w:id="20" w:name="_Toc497893553"/>
      <w:r>
        <w:t>Bemanningsendring 2018-2021</w:t>
      </w:r>
      <w:bookmarkEnd w:id="20"/>
    </w:p>
    <w:tbl>
      <w:tblPr>
        <w:tblW w:w="10115" w:type="dxa"/>
        <w:tblCellMar>
          <w:left w:w="70" w:type="dxa"/>
          <w:right w:w="70" w:type="dxa"/>
        </w:tblCellMar>
        <w:tblLook w:val="04A0" w:firstRow="1" w:lastRow="0" w:firstColumn="1" w:lastColumn="0" w:noHBand="0" w:noVBand="1"/>
      </w:tblPr>
      <w:tblGrid>
        <w:gridCol w:w="1324"/>
        <w:gridCol w:w="1324"/>
        <w:gridCol w:w="1324"/>
        <w:gridCol w:w="1324"/>
        <w:gridCol w:w="1105"/>
        <w:gridCol w:w="1238"/>
        <w:gridCol w:w="1238"/>
        <w:gridCol w:w="1238"/>
      </w:tblGrid>
      <w:tr w:rsidR="00D62A57" w:rsidRPr="00FD6FB3" w:rsidTr="00D62A57">
        <w:trPr>
          <w:trHeight w:val="300"/>
        </w:trPr>
        <w:tc>
          <w:tcPr>
            <w:tcW w:w="1324"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c>
          <w:tcPr>
            <w:tcW w:w="1324"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c>
          <w:tcPr>
            <w:tcW w:w="1324"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c>
          <w:tcPr>
            <w:tcW w:w="1324"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c>
          <w:tcPr>
            <w:tcW w:w="1105"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c>
          <w:tcPr>
            <w:tcW w:w="1238"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c>
          <w:tcPr>
            <w:tcW w:w="1238"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c>
          <w:tcPr>
            <w:tcW w:w="1238"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r>
      <w:tr w:rsidR="00D62A57" w:rsidRPr="00FD6FB3" w:rsidTr="00D62A57">
        <w:trPr>
          <w:trHeight w:val="300"/>
        </w:trPr>
        <w:tc>
          <w:tcPr>
            <w:tcW w:w="2648" w:type="dxa"/>
            <w:gridSpan w:val="2"/>
            <w:tcBorders>
              <w:top w:val="nil"/>
              <w:left w:val="nil"/>
              <w:bottom w:val="nil"/>
              <w:right w:val="nil"/>
            </w:tcBorders>
            <w:shd w:val="clear" w:color="auto" w:fill="auto"/>
            <w:noWrap/>
            <w:vAlign w:val="bottom"/>
            <w:hideMark/>
          </w:tcPr>
          <w:p w:rsidR="00D62A57" w:rsidRPr="00FD6FB3" w:rsidRDefault="00D62A57" w:rsidP="00D62A57">
            <w:pPr>
              <w:rPr>
                <w:rFonts w:ascii="Calibri" w:hAnsi="Calibri"/>
                <w:b/>
                <w:bCs/>
                <w:color w:val="000000"/>
              </w:rPr>
            </w:pPr>
            <w:r w:rsidRPr="00FD6FB3">
              <w:rPr>
                <w:rFonts w:ascii="Calibri" w:hAnsi="Calibri"/>
                <w:b/>
                <w:bCs/>
                <w:color w:val="000000"/>
              </w:rPr>
              <w:t>Sentraladministrasjon</w:t>
            </w:r>
          </w:p>
        </w:tc>
        <w:tc>
          <w:tcPr>
            <w:tcW w:w="1324" w:type="dxa"/>
            <w:tcBorders>
              <w:top w:val="nil"/>
              <w:left w:val="nil"/>
              <w:bottom w:val="nil"/>
              <w:right w:val="nil"/>
            </w:tcBorders>
            <w:shd w:val="clear" w:color="auto" w:fill="auto"/>
            <w:noWrap/>
            <w:vAlign w:val="bottom"/>
            <w:hideMark/>
          </w:tcPr>
          <w:p w:rsidR="00D62A57" w:rsidRPr="00FD6FB3" w:rsidRDefault="00D62A57" w:rsidP="00D62A57">
            <w:pPr>
              <w:rPr>
                <w:rFonts w:ascii="Calibri" w:hAnsi="Calibri"/>
                <w:b/>
                <w:bCs/>
                <w:color w:val="000000"/>
              </w:rPr>
            </w:pPr>
          </w:p>
        </w:tc>
        <w:tc>
          <w:tcPr>
            <w:tcW w:w="1324"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c>
          <w:tcPr>
            <w:tcW w:w="1105"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c>
          <w:tcPr>
            <w:tcW w:w="1238"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c>
          <w:tcPr>
            <w:tcW w:w="1238"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c>
          <w:tcPr>
            <w:tcW w:w="1238"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r>
      <w:tr w:rsidR="00D62A57" w:rsidRPr="00FD6FB3" w:rsidTr="00D62A57">
        <w:trPr>
          <w:trHeight w:val="300"/>
        </w:trPr>
        <w:tc>
          <w:tcPr>
            <w:tcW w:w="5296" w:type="dxa"/>
            <w:gridSpan w:val="4"/>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D62A57" w:rsidRPr="00FD6FB3" w:rsidRDefault="00D62A57" w:rsidP="00D62A57">
            <w:pPr>
              <w:jc w:val="center"/>
              <w:rPr>
                <w:rFonts w:ascii="Calibri" w:hAnsi="Calibri"/>
                <w:b/>
                <w:bCs/>
                <w:color w:val="3F3F76"/>
              </w:rPr>
            </w:pPr>
            <w:r w:rsidRPr="00FD6FB3">
              <w:rPr>
                <w:rFonts w:ascii="Calibri" w:hAnsi="Calibri"/>
                <w:b/>
                <w:bCs/>
                <w:color w:val="3F3F76"/>
              </w:rPr>
              <w:t>Økning</w:t>
            </w:r>
          </w:p>
        </w:tc>
        <w:tc>
          <w:tcPr>
            <w:tcW w:w="4819" w:type="dxa"/>
            <w:gridSpan w:val="4"/>
            <w:tcBorders>
              <w:top w:val="single" w:sz="4" w:space="0" w:color="7F7F7F"/>
              <w:left w:val="nil"/>
              <w:bottom w:val="single" w:sz="4" w:space="0" w:color="7F7F7F"/>
              <w:right w:val="single" w:sz="4" w:space="0" w:color="7F7F7F"/>
            </w:tcBorders>
            <w:shd w:val="clear" w:color="000000" w:fill="F2F2F2"/>
            <w:noWrap/>
            <w:vAlign w:val="bottom"/>
            <w:hideMark/>
          </w:tcPr>
          <w:p w:rsidR="00D62A57" w:rsidRPr="00FD6FB3" w:rsidRDefault="00D62A57" w:rsidP="00D62A57">
            <w:pPr>
              <w:jc w:val="center"/>
              <w:rPr>
                <w:rFonts w:ascii="Calibri" w:hAnsi="Calibri"/>
                <w:b/>
                <w:bCs/>
                <w:color w:val="FA7D00"/>
              </w:rPr>
            </w:pPr>
            <w:r w:rsidRPr="00FD6FB3">
              <w:rPr>
                <w:rFonts w:ascii="Calibri" w:hAnsi="Calibri"/>
                <w:b/>
                <w:bCs/>
                <w:color w:val="FA7D00"/>
              </w:rPr>
              <w:t>Reduksjon</w:t>
            </w:r>
          </w:p>
        </w:tc>
      </w:tr>
      <w:tr w:rsidR="00D62A57" w:rsidRPr="00FD6FB3" w:rsidTr="00D62A57">
        <w:trPr>
          <w:trHeight w:val="300"/>
        </w:trPr>
        <w:tc>
          <w:tcPr>
            <w:tcW w:w="1324"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FD6FB3" w:rsidRDefault="00D62A57" w:rsidP="00D62A57">
            <w:pPr>
              <w:jc w:val="right"/>
              <w:rPr>
                <w:rFonts w:ascii="Calibri" w:hAnsi="Calibri"/>
                <w:color w:val="3F3F76"/>
              </w:rPr>
            </w:pPr>
            <w:r w:rsidRPr="00FD6FB3">
              <w:rPr>
                <w:rFonts w:ascii="Calibri" w:hAnsi="Calibri"/>
                <w:color w:val="3F3F76"/>
              </w:rPr>
              <w:t>2018</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jc w:val="right"/>
              <w:rPr>
                <w:rFonts w:ascii="Calibri" w:hAnsi="Calibri"/>
                <w:color w:val="3F3F76"/>
              </w:rPr>
            </w:pPr>
            <w:r w:rsidRPr="00FD6FB3">
              <w:rPr>
                <w:rFonts w:ascii="Calibri" w:hAnsi="Calibri"/>
                <w:color w:val="3F3F76"/>
              </w:rPr>
              <w:t>2019</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jc w:val="right"/>
              <w:rPr>
                <w:rFonts w:ascii="Calibri" w:hAnsi="Calibri"/>
                <w:color w:val="3F3F76"/>
              </w:rPr>
            </w:pPr>
            <w:r w:rsidRPr="00FD6FB3">
              <w:rPr>
                <w:rFonts w:ascii="Calibri" w:hAnsi="Calibri"/>
                <w:color w:val="3F3F76"/>
              </w:rPr>
              <w:t>2020</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jc w:val="right"/>
              <w:rPr>
                <w:rFonts w:ascii="Calibri" w:hAnsi="Calibri"/>
                <w:color w:val="3F3F76"/>
              </w:rPr>
            </w:pPr>
            <w:r w:rsidRPr="00FD6FB3">
              <w:rPr>
                <w:rFonts w:ascii="Calibri" w:hAnsi="Calibri"/>
                <w:color w:val="3F3F76"/>
              </w:rPr>
              <w:t>2021</w:t>
            </w:r>
          </w:p>
        </w:tc>
        <w:tc>
          <w:tcPr>
            <w:tcW w:w="1105"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jc w:val="right"/>
              <w:rPr>
                <w:rFonts w:ascii="Calibri" w:hAnsi="Calibri"/>
                <w:b/>
                <w:bCs/>
                <w:color w:val="FA7D00"/>
              </w:rPr>
            </w:pPr>
            <w:r w:rsidRPr="00FD6FB3">
              <w:rPr>
                <w:rFonts w:ascii="Calibri" w:hAnsi="Calibri"/>
                <w:b/>
                <w:bCs/>
                <w:color w:val="FA7D00"/>
              </w:rPr>
              <w:t>2018</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jc w:val="right"/>
              <w:rPr>
                <w:rFonts w:ascii="Calibri" w:hAnsi="Calibri"/>
                <w:b/>
                <w:bCs/>
                <w:color w:val="FA7D00"/>
              </w:rPr>
            </w:pPr>
            <w:r w:rsidRPr="00FD6FB3">
              <w:rPr>
                <w:rFonts w:ascii="Calibri" w:hAnsi="Calibri"/>
                <w:b/>
                <w:bCs/>
                <w:color w:val="FA7D00"/>
              </w:rPr>
              <w:t>2019</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jc w:val="right"/>
              <w:rPr>
                <w:rFonts w:ascii="Calibri" w:hAnsi="Calibri"/>
                <w:b/>
                <w:bCs/>
                <w:color w:val="FA7D00"/>
              </w:rPr>
            </w:pPr>
            <w:r w:rsidRPr="00FD6FB3">
              <w:rPr>
                <w:rFonts w:ascii="Calibri" w:hAnsi="Calibri"/>
                <w:b/>
                <w:bCs/>
                <w:color w:val="FA7D00"/>
              </w:rPr>
              <w:t>2020</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jc w:val="right"/>
              <w:rPr>
                <w:rFonts w:ascii="Calibri" w:hAnsi="Calibri"/>
                <w:b/>
                <w:bCs/>
                <w:color w:val="FA7D00"/>
              </w:rPr>
            </w:pPr>
            <w:r w:rsidRPr="00FD6FB3">
              <w:rPr>
                <w:rFonts w:ascii="Calibri" w:hAnsi="Calibri"/>
                <w:b/>
                <w:bCs/>
                <w:color w:val="FA7D00"/>
              </w:rPr>
              <w:t>2021</w:t>
            </w:r>
          </w:p>
        </w:tc>
      </w:tr>
      <w:tr w:rsidR="00D62A57" w:rsidRPr="00FD6FB3" w:rsidTr="00D62A57">
        <w:trPr>
          <w:trHeight w:val="300"/>
        </w:trPr>
        <w:tc>
          <w:tcPr>
            <w:tcW w:w="1324"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xml:space="preserve">20%, </w:t>
            </w:r>
            <w:proofErr w:type="spellStart"/>
            <w:r w:rsidRPr="00FD6FB3">
              <w:rPr>
                <w:rFonts w:ascii="Calibri" w:hAnsi="Calibri"/>
                <w:color w:val="3F3F76"/>
              </w:rPr>
              <w:t>fl.tjen</w:t>
            </w:r>
            <w:proofErr w:type="spellEnd"/>
            <w:r w:rsidRPr="00FD6FB3">
              <w:rPr>
                <w:rFonts w:ascii="Calibri" w:hAnsi="Calibri"/>
                <w:color w:val="3F3F76"/>
              </w:rPr>
              <w:t>.</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105"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xml:space="preserve">20%, </w:t>
            </w:r>
            <w:proofErr w:type="spellStart"/>
            <w:r w:rsidRPr="00FD6FB3">
              <w:rPr>
                <w:rFonts w:ascii="Calibri" w:hAnsi="Calibri"/>
                <w:b/>
                <w:bCs/>
                <w:color w:val="FA7D00"/>
              </w:rPr>
              <w:t>fl.tjen</w:t>
            </w:r>
            <w:proofErr w:type="spellEnd"/>
            <w:r w:rsidRPr="00FD6FB3">
              <w:rPr>
                <w:rFonts w:ascii="Calibri" w:hAnsi="Calibri"/>
                <w:b/>
                <w:bCs/>
                <w:color w:val="FA7D00"/>
              </w:rPr>
              <w:t>.</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xml:space="preserve">40% </w:t>
            </w:r>
            <w:proofErr w:type="spellStart"/>
            <w:r w:rsidRPr="00FD6FB3">
              <w:rPr>
                <w:rFonts w:ascii="Calibri" w:hAnsi="Calibri"/>
                <w:b/>
                <w:bCs/>
                <w:color w:val="FA7D00"/>
              </w:rPr>
              <w:t>fl.tjen</w:t>
            </w:r>
            <w:proofErr w:type="spellEnd"/>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xml:space="preserve">40%, </w:t>
            </w:r>
            <w:proofErr w:type="spellStart"/>
            <w:r w:rsidRPr="00FD6FB3">
              <w:rPr>
                <w:rFonts w:ascii="Calibri" w:hAnsi="Calibri"/>
                <w:b/>
                <w:bCs/>
                <w:color w:val="FA7D00"/>
              </w:rPr>
              <w:t>fl.tjen</w:t>
            </w:r>
            <w:proofErr w:type="spellEnd"/>
            <w:r w:rsidRPr="00FD6FB3">
              <w:rPr>
                <w:rFonts w:ascii="Calibri" w:hAnsi="Calibri"/>
                <w:b/>
                <w:bCs/>
                <w:color w:val="FA7D00"/>
              </w:rPr>
              <w:t>.</w:t>
            </w:r>
          </w:p>
        </w:tc>
      </w:tr>
      <w:tr w:rsidR="00D62A57" w:rsidRPr="00FD6FB3" w:rsidTr="00D62A57">
        <w:trPr>
          <w:trHeight w:val="300"/>
        </w:trPr>
        <w:tc>
          <w:tcPr>
            <w:tcW w:w="1324" w:type="dxa"/>
            <w:tcBorders>
              <w:top w:val="nil"/>
              <w:left w:val="nil"/>
              <w:bottom w:val="nil"/>
              <w:right w:val="nil"/>
            </w:tcBorders>
            <w:shd w:val="clear" w:color="auto" w:fill="auto"/>
            <w:noWrap/>
            <w:vAlign w:val="bottom"/>
            <w:hideMark/>
          </w:tcPr>
          <w:p w:rsidR="00D62A57" w:rsidRPr="00FD6FB3" w:rsidRDefault="00D62A57" w:rsidP="00D62A57">
            <w:pPr>
              <w:rPr>
                <w:rFonts w:ascii="Calibri" w:hAnsi="Calibri"/>
                <w:b/>
                <w:bCs/>
                <w:color w:val="FA7D00"/>
              </w:rPr>
            </w:pPr>
          </w:p>
        </w:tc>
        <w:tc>
          <w:tcPr>
            <w:tcW w:w="1324"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c>
          <w:tcPr>
            <w:tcW w:w="1324"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c>
          <w:tcPr>
            <w:tcW w:w="1324"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c>
          <w:tcPr>
            <w:tcW w:w="1105"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c>
          <w:tcPr>
            <w:tcW w:w="1238"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c>
          <w:tcPr>
            <w:tcW w:w="1238"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c>
          <w:tcPr>
            <w:tcW w:w="1238"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r>
      <w:tr w:rsidR="00D62A57" w:rsidRPr="00FD6FB3" w:rsidTr="00D62A57">
        <w:trPr>
          <w:trHeight w:val="300"/>
        </w:trPr>
        <w:tc>
          <w:tcPr>
            <w:tcW w:w="3972" w:type="dxa"/>
            <w:gridSpan w:val="3"/>
            <w:tcBorders>
              <w:top w:val="nil"/>
              <w:left w:val="nil"/>
              <w:bottom w:val="nil"/>
              <w:right w:val="nil"/>
            </w:tcBorders>
            <w:shd w:val="clear" w:color="auto" w:fill="auto"/>
            <w:noWrap/>
            <w:vAlign w:val="bottom"/>
            <w:hideMark/>
          </w:tcPr>
          <w:p w:rsidR="00D62A57" w:rsidRPr="00FD6FB3" w:rsidRDefault="00D62A57" w:rsidP="00D62A57">
            <w:pPr>
              <w:rPr>
                <w:rFonts w:ascii="Calibri" w:hAnsi="Calibri"/>
                <w:b/>
                <w:bCs/>
                <w:color w:val="000000"/>
              </w:rPr>
            </w:pPr>
            <w:r w:rsidRPr="00FD6FB3">
              <w:rPr>
                <w:rFonts w:ascii="Calibri" w:hAnsi="Calibri"/>
                <w:b/>
                <w:bCs/>
                <w:color w:val="000000"/>
              </w:rPr>
              <w:t>Kultur og undervisningsetaten</w:t>
            </w:r>
          </w:p>
        </w:tc>
        <w:tc>
          <w:tcPr>
            <w:tcW w:w="1324" w:type="dxa"/>
            <w:tcBorders>
              <w:top w:val="nil"/>
              <w:left w:val="nil"/>
              <w:bottom w:val="nil"/>
              <w:right w:val="nil"/>
            </w:tcBorders>
            <w:shd w:val="clear" w:color="auto" w:fill="auto"/>
            <w:noWrap/>
            <w:vAlign w:val="bottom"/>
            <w:hideMark/>
          </w:tcPr>
          <w:p w:rsidR="00D62A57" w:rsidRPr="00FD6FB3" w:rsidRDefault="00D62A57" w:rsidP="00D62A57">
            <w:pPr>
              <w:rPr>
                <w:rFonts w:ascii="Calibri" w:hAnsi="Calibri"/>
                <w:b/>
                <w:bCs/>
                <w:color w:val="000000"/>
              </w:rPr>
            </w:pPr>
          </w:p>
        </w:tc>
        <w:tc>
          <w:tcPr>
            <w:tcW w:w="1105"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c>
          <w:tcPr>
            <w:tcW w:w="1238"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c>
          <w:tcPr>
            <w:tcW w:w="1238"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c>
          <w:tcPr>
            <w:tcW w:w="1238" w:type="dxa"/>
            <w:tcBorders>
              <w:top w:val="nil"/>
              <w:left w:val="nil"/>
              <w:bottom w:val="nil"/>
              <w:right w:val="nil"/>
            </w:tcBorders>
            <w:shd w:val="clear" w:color="auto" w:fill="auto"/>
            <w:noWrap/>
            <w:vAlign w:val="bottom"/>
            <w:hideMark/>
          </w:tcPr>
          <w:p w:rsidR="00D62A57" w:rsidRPr="00FD6FB3" w:rsidRDefault="00D62A57" w:rsidP="00D62A57">
            <w:pPr>
              <w:rPr>
                <w:sz w:val="20"/>
                <w:szCs w:val="20"/>
              </w:rPr>
            </w:pPr>
          </w:p>
        </w:tc>
      </w:tr>
      <w:tr w:rsidR="00D62A57" w:rsidRPr="00FD6FB3" w:rsidTr="00D62A57">
        <w:trPr>
          <w:trHeight w:val="300"/>
        </w:trPr>
        <w:tc>
          <w:tcPr>
            <w:tcW w:w="5296" w:type="dxa"/>
            <w:gridSpan w:val="4"/>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D62A57" w:rsidRPr="00FD6FB3" w:rsidRDefault="00D62A57" w:rsidP="00D62A57">
            <w:pPr>
              <w:jc w:val="center"/>
              <w:rPr>
                <w:rFonts w:ascii="Calibri" w:hAnsi="Calibri"/>
                <w:b/>
                <w:bCs/>
                <w:color w:val="3F3F76"/>
              </w:rPr>
            </w:pPr>
            <w:r w:rsidRPr="00FD6FB3">
              <w:rPr>
                <w:rFonts w:ascii="Calibri" w:hAnsi="Calibri"/>
                <w:b/>
                <w:bCs/>
                <w:color w:val="3F3F76"/>
              </w:rPr>
              <w:t>Økning</w:t>
            </w:r>
          </w:p>
        </w:tc>
        <w:tc>
          <w:tcPr>
            <w:tcW w:w="4819" w:type="dxa"/>
            <w:gridSpan w:val="4"/>
            <w:tcBorders>
              <w:top w:val="single" w:sz="4" w:space="0" w:color="7F7F7F"/>
              <w:left w:val="nil"/>
              <w:bottom w:val="single" w:sz="4" w:space="0" w:color="7F7F7F"/>
              <w:right w:val="single" w:sz="4" w:space="0" w:color="7F7F7F"/>
            </w:tcBorders>
            <w:shd w:val="clear" w:color="000000" w:fill="F2F2F2"/>
            <w:noWrap/>
            <w:vAlign w:val="bottom"/>
            <w:hideMark/>
          </w:tcPr>
          <w:p w:rsidR="00D62A57" w:rsidRPr="00FD6FB3" w:rsidRDefault="00D62A57" w:rsidP="00D62A57">
            <w:pPr>
              <w:jc w:val="center"/>
              <w:rPr>
                <w:rFonts w:ascii="Calibri" w:hAnsi="Calibri"/>
                <w:b/>
                <w:bCs/>
                <w:color w:val="FA7D00"/>
              </w:rPr>
            </w:pPr>
            <w:r w:rsidRPr="00FD6FB3">
              <w:rPr>
                <w:rFonts w:ascii="Calibri" w:hAnsi="Calibri"/>
                <w:b/>
                <w:bCs/>
                <w:color w:val="FA7D00"/>
              </w:rPr>
              <w:t>Reduksjon</w:t>
            </w:r>
          </w:p>
        </w:tc>
      </w:tr>
      <w:tr w:rsidR="00D62A57" w:rsidRPr="00FD6FB3" w:rsidTr="00D62A57">
        <w:trPr>
          <w:trHeight w:val="300"/>
        </w:trPr>
        <w:tc>
          <w:tcPr>
            <w:tcW w:w="1324"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FD6FB3" w:rsidRDefault="00D62A57" w:rsidP="00D62A57">
            <w:pPr>
              <w:jc w:val="right"/>
              <w:rPr>
                <w:rFonts w:ascii="Calibri" w:hAnsi="Calibri"/>
                <w:color w:val="3F3F76"/>
              </w:rPr>
            </w:pPr>
            <w:r w:rsidRPr="00FD6FB3">
              <w:rPr>
                <w:rFonts w:ascii="Calibri" w:hAnsi="Calibri"/>
                <w:color w:val="3F3F76"/>
              </w:rPr>
              <w:t>2018</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jc w:val="right"/>
              <w:rPr>
                <w:rFonts w:ascii="Calibri" w:hAnsi="Calibri"/>
                <w:color w:val="3F3F76"/>
              </w:rPr>
            </w:pPr>
            <w:r w:rsidRPr="00FD6FB3">
              <w:rPr>
                <w:rFonts w:ascii="Calibri" w:hAnsi="Calibri"/>
                <w:color w:val="3F3F76"/>
              </w:rPr>
              <w:t>2019</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jc w:val="right"/>
              <w:rPr>
                <w:rFonts w:ascii="Calibri" w:hAnsi="Calibri"/>
                <w:color w:val="3F3F76"/>
              </w:rPr>
            </w:pPr>
            <w:r w:rsidRPr="00FD6FB3">
              <w:rPr>
                <w:rFonts w:ascii="Calibri" w:hAnsi="Calibri"/>
                <w:color w:val="3F3F76"/>
              </w:rPr>
              <w:t>2020</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jc w:val="right"/>
              <w:rPr>
                <w:rFonts w:ascii="Calibri" w:hAnsi="Calibri"/>
                <w:color w:val="3F3F76"/>
              </w:rPr>
            </w:pPr>
            <w:r w:rsidRPr="00FD6FB3">
              <w:rPr>
                <w:rFonts w:ascii="Calibri" w:hAnsi="Calibri"/>
                <w:color w:val="3F3F76"/>
              </w:rPr>
              <w:t>2021</w:t>
            </w:r>
          </w:p>
        </w:tc>
        <w:tc>
          <w:tcPr>
            <w:tcW w:w="1105"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jc w:val="right"/>
              <w:rPr>
                <w:rFonts w:ascii="Calibri" w:hAnsi="Calibri"/>
                <w:b/>
                <w:bCs/>
                <w:color w:val="FA7D00"/>
              </w:rPr>
            </w:pPr>
            <w:r w:rsidRPr="00FD6FB3">
              <w:rPr>
                <w:rFonts w:ascii="Calibri" w:hAnsi="Calibri"/>
                <w:b/>
                <w:bCs/>
                <w:color w:val="FA7D00"/>
              </w:rPr>
              <w:t>2018</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jc w:val="right"/>
              <w:rPr>
                <w:rFonts w:ascii="Calibri" w:hAnsi="Calibri"/>
                <w:b/>
                <w:bCs/>
                <w:color w:val="FA7D00"/>
              </w:rPr>
            </w:pPr>
            <w:r w:rsidRPr="00FD6FB3">
              <w:rPr>
                <w:rFonts w:ascii="Calibri" w:hAnsi="Calibri"/>
                <w:b/>
                <w:bCs/>
                <w:color w:val="FA7D00"/>
              </w:rPr>
              <w:t>2019</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jc w:val="right"/>
              <w:rPr>
                <w:rFonts w:ascii="Calibri" w:hAnsi="Calibri"/>
                <w:b/>
                <w:bCs/>
                <w:color w:val="FA7D00"/>
              </w:rPr>
            </w:pPr>
            <w:r w:rsidRPr="00FD6FB3">
              <w:rPr>
                <w:rFonts w:ascii="Calibri" w:hAnsi="Calibri"/>
                <w:b/>
                <w:bCs/>
                <w:color w:val="FA7D00"/>
              </w:rPr>
              <w:t>2020</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jc w:val="right"/>
              <w:rPr>
                <w:rFonts w:ascii="Calibri" w:hAnsi="Calibri"/>
                <w:b/>
                <w:bCs/>
                <w:color w:val="FA7D00"/>
              </w:rPr>
            </w:pPr>
            <w:r w:rsidRPr="00FD6FB3">
              <w:rPr>
                <w:rFonts w:ascii="Calibri" w:hAnsi="Calibri"/>
                <w:b/>
                <w:bCs/>
                <w:color w:val="FA7D00"/>
              </w:rPr>
              <w:t>2021</w:t>
            </w:r>
          </w:p>
        </w:tc>
      </w:tr>
      <w:tr w:rsidR="00D62A57" w:rsidRPr="00FD6FB3" w:rsidTr="00D62A57">
        <w:trPr>
          <w:trHeight w:val="600"/>
        </w:trPr>
        <w:tc>
          <w:tcPr>
            <w:tcW w:w="1324" w:type="dxa"/>
            <w:tcBorders>
              <w:top w:val="nil"/>
              <w:left w:val="single" w:sz="4" w:space="0" w:color="7F7F7F"/>
              <w:bottom w:val="single" w:sz="4" w:space="0" w:color="7F7F7F"/>
              <w:right w:val="single" w:sz="4" w:space="0" w:color="7F7F7F"/>
            </w:tcBorders>
            <w:shd w:val="clear" w:color="000000" w:fill="FFCC99"/>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105"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100% merkantil</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100% merkantil</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100% merkantil</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100% merkantil</w:t>
            </w:r>
          </w:p>
        </w:tc>
      </w:tr>
      <w:tr w:rsidR="00D62A57" w:rsidRPr="00FD6FB3" w:rsidTr="00D62A57">
        <w:trPr>
          <w:trHeight w:val="900"/>
        </w:trPr>
        <w:tc>
          <w:tcPr>
            <w:tcW w:w="1324" w:type="dxa"/>
            <w:tcBorders>
              <w:top w:val="nil"/>
              <w:left w:val="single" w:sz="4" w:space="0" w:color="7F7F7F"/>
              <w:bottom w:val="single" w:sz="4" w:space="0" w:color="7F7F7F"/>
              <w:right w:val="single" w:sz="4" w:space="0" w:color="7F7F7F"/>
            </w:tcBorders>
            <w:shd w:val="clear" w:color="000000" w:fill="FFCC99"/>
            <w:vAlign w:val="bottom"/>
            <w:hideMark/>
          </w:tcPr>
          <w:p w:rsidR="00D62A57" w:rsidRPr="00FD6FB3" w:rsidRDefault="00D62A57" w:rsidP="00D62A57">
            <w:pPr>
              <w:rPr>
                <w:rFonts w:ascii="Calibri" w:hAnsi="Calibri"/>
                <w:color w:val="3F3F76"/>
              </w:rPr>
            </w:pPr>
            <w:r>
              <w:rPr>
                <w:rFonts w:ascii="Calibri" w:hAnsi="Calibri"/>
                <w:color w:val="3F3F76"/>
              </w:rPr>
              <w:t xml:space="preserve">50 % </w:t>
            </w:r>
            <w:proofErr w:type="spellStart"/>
            <w:r>
              <w:rPr>
                <w:rFonts w:ascii="Calibri" w:hAnsi="Calibri"/>
                <w:color w:val="3F3F76"/>
              </w:rPr>
              <w:t>saksbeh</w:t>
            </w:r>
            <w:proofErr w:type="spellEnd"/>
            <w:r>
              <w:rPr>
                <w:rFonts w:ascii="Calibri" w:hAnsi="Calibri"/>
                <w:color w:val="3F3F76"/>
              </w:rPr>
              <w:t>. kultur</w:t>
            </w:r>
          </w:p>
        </w:tc>
        <w:tc>
          <w:tcPr>
            <w:tcW w:w="1324" w:type="dxa"/>
            <w:tcBorders>
              <w:top w:val="nil"/>
              <w:left w:val="nil"/>
              <w:bottom w:val="single" w:sz="4" w:space="0" w:color="7F7F7F"/>
              <w:right w:val="single" w:sz="4" w:space="0" w:color="7F7F7F"/>
            </w:tcBorders>
            <w:shd w:val="clear" w:color="000000" w:fill="FFCC99"/>
            <w:vAlign w:val="bottom"/>
            <w:hideMark/>
          </w:tcPr>
          <w:p w:rsidR="00D62A57" w:rsidRPr="00FD6FB3" w:rsidRDefault="00D62A57" w:rsidP="00D62A57">
            <w:pPr>
              <w:rPr>
                <w:rFonts w:ascii="Calibri" w:hAnsi="Calibri"/>
                <w:color w:val="3F3F76"/>
              </w:rPr>
            </w:pPr>
            <w:r>
              <w:rPr>
                <w:rFonts w:ascii="Calibri" w:hAnsi="Calibri"/>
                <w:color w:val="3F3F76"/>
              </w:rPr>
              <w:t xml:space="preserve">50 % </w:t>
            </w:r>
            <w:proofErr w:type="spellStart"/>
            <w:r>
              <w:rPr>
                <w:rFonts w:ascii="Calibri" w:hAnsi="Calibri"/>
                <w:color w:val="3F3F76"/>
              </w:rPr>
              <w:t>saksbeh</w:t>
            </w:r>
            <w:proofErr w:type="spellEnd"/>
            <w:r>
              <w:rPr>
                <w:rFonts w:ascii="Calibri" w:hAnsi="Calibri"/>
                <w:color w:val="3F3F76"/>
              </w:rPr>
              <w:t>. kultur</w:t>
            </w:r>
          </w:p>
        </w:tc>
        <w:tc>
          <w:tcPr>
            <w:tcW w:w="1324" w:type="dxa"/>
            <w:tcBorders>
              <w:top w:val="nil"/>
              <w:left w:val="nil"/>
              <w:bottom w:val="single" w:sz="4" w:space="0" w:color="7F7F7F"/>
              <w:right w:val="single" w:sz="4" w:space="0" w:color="7F7F7F"/>
            </w:tcBorders>
            <w:shd w:val="clear" w:color="000000" w:fill="FFCC99"/>
            <w:vAlign w:val="bottom"/>
            <w:hideMark/>
          </w:tcPr>
          <w:p w:rsidR="00D62A57" w:rsidRPr="00FD6FB3" w:rsidRDefault="00D62A57" w:rsidP="00D62A57">
            <w:pPr>
              <w:rPr>
                <w:rFonts w:ascii="Calibri" w:hAnsi="Calibri"/>
                <w:color w:val="3F3F76"/>
              </w:rPr>
            </w:pPr>
            <w:r>
              <w:rPr>
                <w:rFonts w:ascii="Calibri" w:hAnsi="Calibri"/>
                <w:color w:val="3F3F76"/>
              </w:rPr>
              <w:t xml:space="preserve">50 % </w:t>
            </w:r>
            <w:proofErr w:type="spellStart"/>
            <w:r>
              <w:rPr>
                <w:rFonts w:ascii="Calibri" w:hAnsi="Calibri"/>
                <w:color w:val="3F3F76"/>
              </w:rPr>
              <w:t>saksbeh</w:t>
            </w:r>
            <w:proofErr w:type="spellEnd"/>
            <w:r>
              <w:rPr>
                <w:rFonts w:ascii="Calibri" w:hAnsi="Calibri"/>
                <w:color w:val="3F3F76"/>
              </w:rPr>
              <w:t>.   kultur</w:t>
            </w:r>
          </w:p>
        </w:tc>
        <w:tc>
          <w:tcPr>
            <w:tcW w:w="1324" w:type="dxa"/>
            <w:tcBorders>
              <w:top w:val="nil"/>
              <w:left w:val="nil"/>
              <w:bottom w:val="single" w:sz="4" w:space="0" w:color="7F7F7F"/>
              <w:right w:val="single" w:sz="4" w:space="0" w:color="7F7F7F"/>
            </w:tcBorders>
            <w:shd w:val="clear" w:color="000000" w:fill="FFCC99"/>
            <w:vAlign w:val="bottom"/>
            <w:hideMark/>
          </w:tcPr>
          <w:p w:rsidR="00D62A57" w:rsidRPr="00FD6FB3" w:rsidRDefault="00D62A57" w:rsidP="00D62A57">
            <w:pPr>
              <w:rPr>
                <w:rFonts w:ascii="Calibri" w:hAnsi="Calibri"/>
                <w:color w:val="3F3F76"/>
              </w:rPr>
            </w:pPr>
            <w:r>
              <w:rPr>
                <w:rFonts w:ascii="Calibri" w:hAnsi="Calibri"/>
                <w:color w:val="3F3F76"/>
              </w:rPr>
              <w:t xml:space="preserve">50 % </w:t>
            </w:r>
            <w:proofErr w:type="spellStart"/>
            <w:r>
              <w:rPr>
                <w:rFonts w:ascii="Calibri" w:hAnsi="Calibri"/>
                <w:color w:val="3F3F76"/>
              </w:rPr>
              <w:t>saksbeh</w:t>
            </w:r>
            <w:proofErr w:type="spellEnd"/>
            <w:r>
              <w:rPr>
                <w:rFonts w:ascii="Calibri" w:hAnsi="Calibri"/>
                <w:color w:val="3F3F76"/>
              </w:rPr>
              <w:t>. kultur</w:t>
            </w:r>
          </w:p>
        </w:tc>
        <w:tc>
          <w:tcPr>
            <w:tcW w:w="1105"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r>
      <w:tr w:rsidR="00D62A57" w:rsidRPr="00FD6FB3" w:rsidTr="00D62A57">
        <w:trPr>
          <w:trHeight w:val="300"/>
        </w:trPr>
        <w:tc>
          <w:tcPr>
            <w:tcW w:w="1324"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25% PPT</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105"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r>
      <w:tr w:rsidR="00D62A57" w:rsidRPr="00FD6FB3" w:rsidTr="00D62A57">
        <w:trPr>
          <w:trHeight w:val="300"/>
        </w:trPr>
        <w:tc>
          <w:tcPr>
            <w:tcW w:w="1324"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108% lærer BS</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108% lærer BS</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108% lærer BS</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108% lærer BS</w:t>
            </w:r>
          </w:p>
        </w:tc>
        <w:tc>
          <w:tcPr>
            <w:tcW w:w="1105"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r>
      <w:tr w:rsidR="00D62A57" w:rsidRPr="00FD6FB3" w:rsidTr="00D62A57">
        <w:trPr>
          <w:trHeight w:val="1200"/>
        </w:trPr>
        <w:tc>
          <w:tcPr>
            <w:tcW w:w="1324"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105"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xml:space="preserve">69,2 % </w:t>
            </w:r>
            <w:proofErr w:type="spellStart"/>
            <w:r w:rsidRPr="00FD6FB3">
              <w:rPr>
                <w:rFonts w:ascii="Calibri" w:hAnsi="Calibri"/>
                <w:b/>
                <w:bCs/>
                <w:color w:val="FA7D00"/>
              </w:rPr>
              <w:t>spes.ped</w:t>
            </w:r>
            <w:proofErr w:type="spellEnd"/>
            <w:r w:rsidRPr="00FD6FB3">
              <w:rPr>
                <w:rFonts w:ascii="Calibri" w:hAnsi="Calibri"/>
                <w:b/>
                <w:bCs/>
                <w:color w:val="FA7D00"/>
              </w:rPr>
              <w:t>. BS</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xml:space="preserve">69,2 </w:t>
            </w:r>
            <w:proofErr w:type="gramStart"/>
            <w:r w:rsidRPr="00FD6FB3">
              <w:rPr>
                <w:rFonts w:ascii="Calibri" w:hAnsi="Calibri"/>
                <w:b/>
                <w:bCs/>
                <w:color w:val="FA7D00"/>
              </w:rPr>
              <w:t xml:space="preserve">%  </w:t>
            </w:r>
            <w:proofErr w:type="spellStart"/>
            <w:r w:rsidRPr="00FD6FB3">
              <w:rPr>
                <w:rFonts w:ascii="Calibri" w:hAnsi="Calibri"/>
                <w:b/>
                <w:bCs/>
                <w:color w:val="FA7D00"/>
              </w:rPr>
              <w:t>spes.ped</w:t>
            </w:r>
            <w:proofErr w:type="spellEnd"/>
            <w:proofErr w:type="gramEnd"/>
            <w:r w:rsidRPr="00FD6FB3">
              <w:rPr>
                <w:rFonts w:ascii="Calibri" w:hAnsi="Calibri"/>
                <w:b/>
                <w:bCs/>
                <w:color w:val="FA7D00"/>
              </w:rPr>
              <w:t>. + 30 % ped.BS</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xml:space="preserve">69,2 </w:t>
            </w:r>
            <w:proofErr w:type="gramStart"/>
            <w:r w:rsidRPr="00FD6FB3">
              <w:rPr>
                <w:rFonts w:ascii="Calibri" w:hAnsi="Calibri"/>
                <w:b/>
                <w:bCs/>
                <w:color w:val="FA7D00"/>
              </w:rPr>
              <w:t xml:space="preserve">%  </w:t>
            </w:r>
            <w:proofErr w:type="spellStart"/>
            <w:r w:rsidRPr="00FD6FB3">
              <w:rPr>
                <w:rFonts w:ascii="Calibri" w:hAnsi="Calibri"/>
                <w:b/>
                <w:bCs/>
                <w:color w:val="FA7D00"/>
              </w:rPr>
              <w:t>spes.ped</w:t>
            </w:r>
            <w:proofErr w:type="spellEnd"/>
            <w:proofErr w:type="gramEnd"/>
            <w:r w:rsidRPr="00FD6FB3">
              <w:rPr>
                <w:rFonts w:ascii="Calibri" w:hAnsi="Calibri"/>
                <w:b/>
                <w:bCs/>
                <w:color w:val="FA7D00"/>
              </w:rPr>
              <w:t>. + 30 % ped.BS</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xml:space="preserve">69,2 </w:t>
            </w:r>
            <w:proofErr w:type="gramStart"/>
            <w:r w:rsidRPr="00FD6FB3">
              <w:rPr>
                <w:rFonts w:ascii="Calibri" w:hAnsi="Calibri"/>
                <w:b/>
                <w:bCs/>
                <w:color w:val="FA7D00"/>
              </w:rPr>
              <w:t xml:space="preserve">%  </w:t>
            </w:r>
            <w:proofErr w:type="spellStart"/>
            <w:r w:rsidRPr="00FD6FB3">
              <w:rPr>
                <w:rFonts w:ascii="Calibri" w:hAnsi="Calibri"/>
                <w:b/>
                <w:bCs/>
                <w:color w:val="FA7D00"/>
              </w:rPr>
              <w:t>spes.ped</w:t>
            </w:r>
            <w:proofErr w:type="spellEnd"/>
            <w:proofErr w:type="gramEnd"/>
            <w:r w:rsidRPr="00FD6FB3">
              <w:rPr>
                <w:rFonts w:ascii="Calibri" w:hAnsi="Calibri"/>
                <w:b/>
                <w:bCs/>
                <w:color w:val="FA7D00"/>
              </w:rPr>
              <w:t>. + 30 % ped.BS</w:t>
            </w:r>
          </w:p>
        </w:tc>
      </w:tr>
      <w:tr w:rsidR="00D62A57" w:rsidRPr="00FD6FB3" w:rsidTr="00D62A57">
        <w:trPr>
          <w:trHeight w:val="300"/>
        </w:trPr>
        <w:tc>
          <w:tcPr>
            <w:tcW w:w="1324"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xml:space="preserve">40 % </w:t>
            </w:r>
            <w:proofErr w:type="spellStart"/>
            <w:r w:rsidRPr="00FD6FB3">
              <w:rPr>
                <w:rFonts w:ascii="Calibri" w:hAnsi="Calibri"/>
                <w:color w:val="3F3F76"/>
              </w:rPr>
              <w:t>fr.spr</w:t>
            </w:r>
            <w:proofErr w:type="spellEnd"/>
            <w:r w:rsidRPr="00FD6FB3">
              <w:rPr>
                <w:rFonts w:ascii="Calibri" w:hAnsi="Calibri"/>
                <w:color w:val="3F3F76"/>
              </w:rPr>
              <w:t>. BS</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105"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r>
      <w:tr w:rsidR="00D62A57" w:rsidRPr="00FD6FB3" w:rsidTr="00D62A57">
        <w:trPr>
          <w:trHeight w:val="900"/>
        </w:trPr>
        <w:tc>
          <w:tcPr>
            <w:tcW w:w="1324" w:type="dxa"/>
            <w:tcBorders>
              <w:top w:val="nil"/>
              <w:left w:val="single" w:sz="4" w:space="0" w:color="7F7F7F"/>
              <w:bottom w:val="single" w:sz="4" w:space="0" w:color="7F7F7F"/>
              <w:right w:val="single" w:sz="4" w:space="0" w:color="7F7F7F"/>
            </w:tcBorders>
            <w:shd w:val="clear" w:color="000000" w:fill="FFCC99"/>
            <w:vAlign w:val="bottom"/>
            <w:hideMark/>
          </w:tcPr>
          <w:p w:rsidR="00D62A57" w:rsidRPr="00FD6FB3" w:rsidRDefault="00D62A57" w:rsidP="00D62A57">
            <w:pPr>
              <w:rPr>
                <w:rFonts w:ascii="Calibri" w:hAnsi="Calibri"/>
                <w:color w:val="3F3F76"/>
              </w:rPr>
            </w:pPr>
            <w:r w:rsidRPr="00FD6FB3">
              <w:rPr>
                <w:rFonts w:ascii="Calibri" w:hAnsi="Calibri"/>
                <w:color w:val="3F3F76"/>
              </w:rPr>
              <w:t>25 % merkantil SUS</w:t>
            </w:r>
          </w:p>
        </w:tc>
        <w:tc>
          <w:tcPr>
            <w:tcW w:w="1324" w:type="dxa"/>
            <w:tcBorders>
              <w:top w:val="nil"/>
              <w:left w:val="nil"/>
              <w:bottom w:val="single" w:sz="4" w:space="0" w:color="7F7F7F"/>
              <w:right w:val="single" w:sz="4" w:space="0" w:color="7F7F7F"/>
            </w:tcBorders>
            <w:shd w:val="clear" w:color="000000" w:fill="FFCC99"/>
            <w:vAlign w:val="bottom"/>
            <w:hideMark/>
          </w:tcPr>
          <w:p w:rsidR="00D62A57" w:rsidRPr="00FD6FB3" w:rsidRDefault="00D62A57" w:rsidP="00D62A57">
            <w:pPr>
              <w:rPr>
                <w:rFonts w:ascii="Calibri" w:hAnsi="Calibri"/>
                <w:color w:val="3F3F76"/>
              </w:rPr>
            </w:pPr>
            <w:r w:rsidRPr="00FD6FB3">
              <w:rPr>
                <w:rFonts w:ascii="Calibri" w:hAnsi="Calibri"/>
                <w:color w:val="3F3F76"/>
              </w:rPr>
              <w:t>25 % merkantil SUS</w:t>
            </w:r>
          </w:p>
        </w:tc>
        <w:tc>
          <w:tcPr>
            <w:tcW w:w="1324" w:type="dxa"/>
            <w:tcBorders>
              <w:top w:val="nil"/>
              <w:left w:val="nil"/>
              <w:bottom w:val="single" w:sz="4" w:space="0" w:color="7F7F7F"/>
              <w:right w:val="single" w:sz="4" w:space="0" w:color="7F7F7F"/>
            </w:tcBorders>
            <w:shd w:val="clear" w:color="000000" w:fill="FFCC99"/>
            <w:vAlign w:val="bottom"/>
            <w:hideMark/>
          </w:tcPr>
          <w:p w:rsidR="00D62A57" w:rsidRPr="00FD6FB3" w:rsidRDefault="00D62A57" w:rsidP="00D62A57">
            <w:pPr>
              <w:rPr>
                <w:rFonts w:ascii="Calibri" w:hAnsi="Calibri"/>
                <w:color w:val="3F3F76"/>
              </w:rPr>
            </w:pPr>
            <w:r w:rsidRPr="00FD6FB3">
              <w:rPr>
                <w:rFonts w:ascii="Calibri" w:hAnsi="Calibri"/>
                <w:color w:val="3F3F76"/>
              </w:rPr>
              <w:t>25 % merkantil   SUS</w:t>
            </w:r>
          </w:p>
        </w:tc>
        <w:tc>
          <w:tcPr>
            <w:tcW w:w="1324" w:type="dxa"/>
            <w:tcBorders>
              <w:top w:val="nil"/>
              <w:left w:val="nil"/>
              <w:bottom w:val="single" w:sz="4" w:space="0" w:color="7F7F7F"/>
              <w:right w:val="single" w:sz="4" w:space="0" w:color="7F7F7F"/>
            </w:tcBorders>
            <w:shd w:val="clear" w:color="000000" w:fill="FFCC99"/>
            <w:vAlign w:val="bottom"/>
            <w:hideMark/>
          </w:tcPr>
          <w:p w:rsidR="00D62A57" w:rsidRPr="00FD6FB3" w:rsidRDefault="00D62A57" w:rsidP="00D62A57">
            <w:pPr>
              <w:rPr>
                <w:rFonts w:ascii="Calibri" w:hAnsi="Calibri"/>
                <w:color w:val="3F3F76"/>
              </w:rPr>
            </w:pPr>
            <w:r w:rsidRPr="00FD6FB3">
              <w:rPr>
                <w:rFonts w:ascii="Calibri" w:hAnsi="Calibri"/>
                <w:color w:val="3F3F76"/>
              </w:rPr>
              <w:t>25 % merkantil SUS</w:t>
            </w:r>
          </w:p>
        </w:tc>
        <w:tc>
          <w:tcPr>
            <w:tcW w:w="1105"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r>
      <w:tr w:rsidR="00D62A57" w:rsidRPr="00FD6FB3" w:rsidTr="00D62A57">
        <w:trPr>
          <w:trHeight w:val="600"/>
        </w:trPr>
        <w:tc>
          <w:tcPr>
            <w:tcW w:w="1324"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105"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42 % ass. SUS</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42 % ass. SUS</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42 % ass. SUS</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42 % ass. SUS</w:t>
            </w:r>
          </w:p>
        </w:tc>
      </w:tr>
      <w:tr w:rsidR="00D62A57" w:rsidRPr="00FD6FB3" w:rsidTr="00D62A57">
        <w:trPr>
          <w:trHeight w:val="1200"/>
        </w:trPr>
        <w:tc>
          <w:tcPr>
            <w:tcW w:w="1324"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105"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74 % lærer SUS</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74%  + 130 % lærer SUS</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74%  + 130 % lærer SUS</w:t>
            </w:r>
          </w:p>
        </w:tc>
      </w:tr>
      <w:tr w:rsidR="00D62A57" w:rsidRPr="00FD6FB3" w:rsidTr="00D62A57">
        <w:trPr>
          <w:trHeight w:val="600"/>
        </w:trPr>
        <w:tc>
          <w:tcPr>
            <w:tcW w:w="1324"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105"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100% Presteg.BH</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100% Presteg.BH</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100% Presteg.BH</w:t>
            </w:r>
          </w:p>
        </w:tc>
      </w:tr>
      <w:tr w:rsidR="00D62A57" w:rsidRPr="00FD6FB3" w:rsidTr="00D62A57">
        <w:trPr>
          <w:trHeight w:val="600"/>
        </w:trPr>
        <w:tc>
          <w:tcPr>
            <w:tcW w:w="1324" w:type="dxa"/>
            <w:tcBorders>
              <w:top w:val="nil"/>
              <w:left w:val="single" w:sz="4" w:space="0" w:color="7F7F7F"/>
              <w:bottom w:val="single" w:sz="4" w:space="0" w:color="7F7F7F"/>
              <w:right w:val="single" w:sz="4" w:space="0" w:color="7F7F7F"/>
            </w:tcBorders>
            <w:shd w:val="clear" w:color="000000" w:fill="FFCC99"/>
            <w:vAlign w:val="bottom"/>
            <w:hideMark/>
          </w:tcPr>
          <w:p w:rsidR="00D62A57" w:rsidRPr="00FD6FB3" w:rsidRDefault="00D62A57" w:rsidP="00D62A57">
            <w:pPr>
              <w:rPr>
                <w:rFonts w:ascii="Calibri" w:hAnsi="Calibri"/>
                <w:color w:val="3F3F76"/>
              </w:rPr>
            </w:pPr>
            <w:r w:rsidRPr="00FD6FB3">
              <w:rPr>
                <w:rFonts w:ascii="Calibri" w:hAnsi="Calibri"/>
                <w:color w:val="3F3F76"/>
              </w:rPr>
              <w:t xml:space="preserve">66,6% </w:t>
            </w:r>
            <w:proofErr w:type="spellStart"/>
            <w:r w:rsidRPr="00FD6FB3">
              <w:rPr>
                <w:rFonts w:ascii="Calibri" w:hAnsi="Calibri"/>
                <w:color w:val="3F3F76"/>
              </w:rPr>
              <w:t>spes.ped</w:t>
            </w:r>
            <w:proofErr w:type="spellEnd"/>
            <w:r w:rsidRPr="00FD6FB3">
              <w:rPr>
                <w:rFonts w:ascii="Calibri" w:hAnsi="Calibri"/>
                <w:color w:val="3F3F76"/>
              </w:rPr>
              <w:t xml:space="preserve"> BH</w:t>
            </w:r>
          </w:p>
        </w:tc>
        <w:tc>
          <w:tcPr>
            <w:tcW w:w="1324" w:type="dxa"/>
            <w:tcBorders>
              <w:top w:val="nil"/>
              <w:left w:val="nil"/>
              <w:bottom w:val="single" w:sz="4" w:space="0" w:color="7F7F7F"/>
              <w:right w:val="single" w:sz="4" w:space="0" w:color="7F7F7F"/>
            </w:tcBorders>
            <w:shd w:val="clear" w:color="000000" w:fill="FFCC99"/>
            <w:vAlign w:val="bottom"/>
            <w:hideMark/>
          </w:tcPr>
          <w:p w:rsidR="00D62A57" w:rsidRPr="00FD6FB3" w:rsidRDefault="00D62A57" w:rsidP="00D62A57">
            <w:pPr>
              <w:rPr>
                <w:rFonts w:ascii="Calibri" w:hAnsi="Calibri"/>
                <w:color w:val="3F3F76"/>
              </w:rPr>
            </w:pPr>
            <w:r w:rsidRPr="00FD6FB3">
              <w:rPr>
                <w:rFonts w:ascii="Calibri" w:hAnsi="Calibri"/>
                <w:color w:val="3F3F76"/>
              </w:rPr>
              <w:t xml:space="preserve">66,6% </w:t>
            </w:r>
            <w:proofErr w:type="spellStart"/>
            <w:r w:rsidRPr="00FD6FB3">
              <w:rPr>
                <w:rFonts w:ascii="Calibri" w:hAnsi="Calibri"/>
                <w:color w:val="3F3F76"/>
              </w:rPr>
              <w:t>spes.ped</w:t>
            </w:r>
            <w:proofErr w:type="spellEnd"/>
            <w:r w:rsidRPr="00FD6FB3">
              <w:rPr>
                <w:rFonts w:ascii="Calibri" w:hAnsi="Calibri"/>
                <w:color w:val="3F3F76"/>
              </w:rPr>
              <w:t xml:space="preserve"> BH</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105"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r>
      <w:tr w:rsidR="00D62A57" w:rsidRPr="00FD6FB3" w:rsidTr="00D62A57">
        <w:trPr>
          <w:trHeight w:val="900"/>
        </w:trPr>
        <w:tc>
          <w:tcPr>
            <w:tcW w:w="1324"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lastRenderedPageBreak/>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105"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50 % ass. Årviksand BH</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50 % ass. Årviksand BH</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50 % ass. Årviksand BH</w:t>
            </w:r>
          </w:p>
        </w:tc>
      </w:tr>
      <w:tr w:rsidR="00D62A57" w:rsidRPr="00FD6FB3" w:rsidTr="00D62A57">
        <w:trPr>
          <w:trHeight w:val="900"/>
        </w:trPr>
        <w:tc>
          <w:tcPr>
            <w:tcW w:w="1324"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105"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50 % kultur-skole</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50 % kultur-skole</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r>
      <w:tr w:rsidR="00D62A57" w:rsidRPr="00FD6FB3" w:rsidTr="00D62A57">
        <w:trPr>
          <w:trHeight w:val="300"/>
        </w:trPr>
        <w:tc>
          <w:tcPr>
            <w:tcW w:w="1324"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20 % VO</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324" w:type="dxa"/>
            <w:tcBorders>
              <w:top w:val="nil"/>
              <w:left w:val="nil"/>
              <w:bottom w:val="single" w:sz="4" w:space="0" w:color="7F7F7F"/>
              <w:right w:val="single" w:sz="4" w:space="0" w:color="7F7F7F"/>
            </w:tcBorders>
            <w:shd w:val="clear" w:color="000000" w:fill="FFCC99"/>
            <w:noWrap/>
            <w:vAlign w:val="bottom"/>
            <w:hideMark/>
          </w:tcPr>
          <w:p w:rsidR="00D62A57" w:rsidRPr="00FD6FB3" w:rsidRDefault="00D62A57" w:rsidP="00D62A57">
            <w:pPr>
              <w:rPr>
                <w:rFonts w:ascii="Calibri" w:hAnsi="Calibri"/>
                <w:color w:val="3F3F76"/>
              </w:rPr>
            </w:pPr>
            <w:r w:rsidRPr="00FD6FB3">
              <w:rPr>
                <w:rFonts w:ascii="Calibri" w:hAnsi="Calibri"/>
                <w:color w:val="3F3F76"/>
              </w:rPr>
              <w:t> </w:t>
            </w:r>
          </w:p>
        </w:tc>
        <w:tc>
          <w:tcPr>
            <w:tcW w:w="1105" w:type="dxa"/>
            <w:tcBorders>
              <w:top w:val="nil"/>
              <w:left w:val="nil"/>
              <w:bottom w:val="single" w:sz="4" w:space="0" w:color="7F7F7F"/>
              <w:right w:val="single" w:sz="4" w:space="0" w:color="7F7F7F"/>
            </w:tcBorders>
            <w:shd w:val="clear" w:color="000000" w:fill="F2F2F2"/>
            <w:noWrap/>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 </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20 % VO</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40% VO</w:t>
            </w:r>
          </w:p>
        </w:tc>
        <w:tc>
          <w:tcPr>
            <w:tcW w:w="1238" w:type="dxa"/>
            <w:tcBorders>
              <w:top w:val="nil"/>
              <w:left w:val="nil"/>
              <w:bottom w:val="single" w:sz="4" w:space="0" w:color="7F7F7F"/>
              <w:right w:val="single" w:sz="4" w:space="0" w:color="7F7F7F"/>
            </w:tcBorders>
            <w:shd w:val="clear" w:color="000000" w:fill="F2F2F2"/>
            <w:vAlign w:val="bottom"/>
            <w:hideMark/>
          </w:tcPr>
          <w:p w:rsidR="00D62A57" w:rsidRPr="00FD6FB3" w:rsidRDefault="00D62A57" w:rsidP="00D62A57">
            <w:pPr>
              <w:rPr>
                <w:rFonts w:ascii="Calibri" w:hAnsi="Calibri"/>
                <w:b/>
                <w:bCs/>
                <w:color w:val="FA7D00"/>
              </w:rPr>
            </w:pPr>
            <w:r w:rsidRPr="00FD6FB3">
              <w:rPr>
                <w:rFonts w:ascii="Calibri" w:hAnsi="Calibri"/>
                <w:b/>
                <w:bCs/>
                <w:color w:val="FA7D00"/>
              </w:rPr>
              <w:t>40% VO</w:t>
            </w:r>
          </w:p>
        </w:tc>
      </w:tr>
    </w:tbl>
    <w:p w:rsidR="00D62A57" w:rsidRDefault="00D62A57" w:rsidP="00D62A57"/>
    <w:p w:rsidR="00D62A57" w:rsidRDefault="00D62A57" w:rsidP="00D62A57">
      <w:r>
        <w:t xml:space="preserve">Økning og reduksjon av pedagog- og assistentstillinger (skole og barnehage) har ikke full </w:t>
      </w:r>
      <w:proofErr w:type="spellStart"/>
      <w:r>
        <w:t>årseffekt</w:t>
      </w:r>
      <w:proofErr w:type="spellEnd"/>
      <w:r>
        <w:t>, da de følger skole-/barnehageår.</w:t>
      </w:r>
    </w:p>
    <w:p w:rsidR="00AC206F" w:rsidRDefault="00AC206F" w:rsidP="00D62A57"/>
    <w:tbl>
      <w:tblPr>
        <w:tblW w:w="9898" w:type="dxa"/>
        <w:tblCellMar>
          <w:left w:w="70" w:type="dxa"/>
          <w:right w:w="70" w:type="dxa"/>
        </w:tblCellMar>
        <w:tblLook w:val="04A0" w:firstRow="1" w:lastRow="0" w:firstColumn="1" w:lastColumn="0" w:noHBand="0" w:noVBand="1"/>
      </w:tblPr>
      <w:tblGrid>
        <w:gridCol w:w="1294"/>
        <w:gridCol w:w="1294"/>
        <w:gridCol w:w="1294"/>
        <w:gridCol w:w="1294"/>
        <w:gridCol w:w="1164"/>
        <w:gridCol w:w="1197"/>
        <w:gridCol w:w="1164"/>
        <w:gridCol w:w="1197"/>
      </w:tblGrid>
      <w:tr w:rsidR="00D62A57" w:rsidRPr="006A4103" w:rsidTr="00AC206F">
        <w:trPr>
          <w:trHeight w:val="282"/>
        </w:trPr>
        <w:tc>
          <w:tcPr>
            <w:tcW w:w="2588" w:type="dxa"/>
            <w:gridSpan w:val="2"/>
            <w:tcBorders>
              <w:top w:val="nil"/>
              <w:left w:val="nil"/>
              <w:bottom w:val="nil"/>
              <w:right w:val="nil"/>
            </w:tcBorders>
            <w:shd w:val="clear" w:color="auto" w:fill="auto"/>
            <w:noWrap/>
            <w:vAlign w:val="bottom"/>
            <w:hideMark/>
          </w:tcPr>
          <w:p w:rsidR="00D62A57" w:rsidRPr="006A4103" w:rsidRDefault="00D62A57" w:rsidP="00D62A57">
            <w:pPr>
              <w:rPr>
                <w:rFonts w:ascii="Calibri" w:hAnsi="Calibri"/>
                <w:b/>
                <w:bCs/>
                <w:color w:val="000000"/>
              </w:rPr>
            </w:pPr>
            <w:r w:rsidRPr="006A4103">
              <w:rPr>
                <w:rFonts w:ascii="Calibri" w:hAnsi="Calibri"/>
                <w:b/>
                <w:bCs/>
                <w:color w:val="000000"/>
              </w:rPr>
              <w:t>Helse og omsorgsetaten</w:t>
            </w:r>
          </w:p>
        </w:tc>
        <w:tc>
          <w:tcPr>
            <w:tcW w:w="1294" w:type="dxa"/>
            <w:tcBorders>
              <w:top w:val="nil"/>
              <w:left w:val="nil"/>
              <w:bottom w:val="nil"/>
              <w:right w:val="nil"/>
            </w:tcBorders>
            <w:shd w:val="clear" w:color="auto" w:fill="auto"/>
            <w:noWrap/>
            <w:vAlign w:val="bottom"/>
            <w:hideMark/>
          </w:tcPr>
          <w:p w:rsidR="00D62A57" w:rsidRPr="006A4103" w:rsidRDefault="00D62A57" w:rsidP="00D62A57">
            <w:pPr>
              <w:rPr>
                <w:rFonts w:ascii="Calibri" w:hAnsi="Calibri"/>
                <w:b/>
                <w:bCs/>
                <w:color w:val="000000"/>
              </w:rPr>
            </w:pPr>
          </w:p>
        </w:tc>
        <w:tc>
          <w:tcPr>
            <w:tcW w:w="1294" w:type="dxa"/>
            <w:tcBorders>
              <w:top w:val="nil"/>
              <w:left w:val="nil"/>
              <w:bottom w:val="nil"/>
              <w:right w:val="nil"/>
            </w:tcBorders>
            <w:shd w:val="clear" w:color="auto" w:fill="auto"/>
            <w:noWrap/>
            <w:vAlign w:val="bottom"/>
            <w:hideMark/>
          </w:tcPr>
          <w:p w:rsidR="00D62A57" w:rsidRPr="006A4103" w:rsidRDefault="00D62A57" w:rsidP="00D62A57">
            <w:pPr>
              <w:rPr>
                <w:sz w:val="20"/>
                <w:szCs w:val="20"/>
              </w:rPr>
            </w:pPr>
          </w:p>
        </w:tc>
        <w:tc>
          <w:tcPr>
            <w:tcW w:w="1164" w:type="dxa"/>
            <w:tcBorders>
              <w:top w:val="nil"/>
              <w:left w:val="nil"/>
              <w:bottom w:val="nil"/>
              <w:right w:val="nil"/>
            </w:tcBorders>
            <w:shd w:val="clear" w:color="auto" w:fill="auto"/>
            <w:noWrap/>
            <w:vAlign w:val="bottom"/>
            <w:hideMark/>
          </w:tcPr>
          <w:p w:rsidR="00D62A57" w:rsidRPr="006A4103" w:rsidRDefault="00D62A57" w:rsidP="00D62A57">
            <w:pPr>
              <w:rPr>
                <w:sz w:val="20"/>
                <w:szCs w:val="20"/>
              </w:rPr>
            </w:pPr>
          </w:p>
        </w:tc>
        <w:tc>
          <w:tcPr>
            <w:tcW w:w="1197" w:type="dxa"/>
            <w:tcBorders>
              <w:top w:val="nil"/>
              <w:left w:val="nil"/>
              <w:bottom w:val="nil"/>
              <w:right w:val="nil"/>
            </w:tcBorders>
            <w:shd w:val="clear" w:color="auto" w:fill="auto"/>
            <w:noWrap/>
            <w:vAlign w:val="bottom"/>
            <w:hideMark/>
          </w:tcPr>
          <w:p w:rsidR="00D62A57" w:rsidRPr="006A4103" w:rsidRDefault="00D62A57" w:rsidP="00D62A57">
            <w:pPr>
              <w:rPr>
                <w:sz w:val="20"/>
                <w:szCs w:val="20"/>
              </w:rPr>
            </w:pPr>
          </w:p>
        </w:tc>
        <w:tc>
          <w:tcPr>
            <w:tcW w:w="1164" w:type="dxa"/>
            <w:tcBorders>
              <w:top w:val="nil"/>
              <w:left w:val="nil"/>
              <w:bottom w:val="nil"/>
              <w:right w:val="nil"/>
            </w:tcBorders>
            <w:shd w:val="clear" w:color="auto" w:fill="auto"/>
            <w:noWrap/>
            <w:vAlign w:val="bottom"/>
            <w:hideMark/>
          </w:tcPr>
          <w:p w:rsidR="00D62A57" w:rsidRPr="006A4103" w:rsidRDefault="00D62A57" w:rsidP="00D62A57">
            <w:pPr>
              <w:rPr>
                <w:sz w:val="20"/>
                <w:szCs w:val="20"/>
              </w:rPr>
            </w:pPr>
          </w:p>
        </w:tc>
        <w:tc>
          <w:tcPr>
            <w:tcW w:w="1197" w:type="dxa"/>
            <w:tcBorders>
              <w:top w:val="nil"/>
              <w:left w:val="nil"/>
              <w:bottom w:val="nil"/>
              <w:right w:val="nil"/>
            </w:tcBorders>
            <w:shd w:val="clear" w:color="auto" w:fill="auto"/>
            <w:noWrap/>
            <w:vAlign w:val="bottom"/>
            <w:hideMark/>
          </w:tcPr>
          <w:p w:rsidR="00D62A57" w:rsidRPr="006A4103" w:rsidRDefault="00D62A57" w:rsidP="00D62A57">
            <w:pPr>
              <w:rPr>
                <w:sz w:val="20"/>
                <w:szCs w:val="20"/>
              </w:rPr>
            </w:pPr>
          </w:p>
        </w:tc>
      </w:tr>
      <w:tr w:rsidR="00D62A57" w:rsidRPr="006A4103" w:rsidTr="00AC206F">
        <w:trPr>
          <w:trHeight w:val="282"/>
        </w:trPr>
        <w:tc>
          <w:tcPr>
            <w:tcW w:w="5176" w:type="dxa"/>
            <w:gridSpan w:val="4"/>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D62A57" w:rsidRPr="006A4103" w:rsidRDefault="00D62A57" w:rsidP="00D62A57">
            <w:pPr>
              <w:jc w:val="center"/>
              <w:rPr>
                <w:rFonts w:ascii="Calibri" w:hAnsi="Calibri"/>
                <w:color w:val="3F3F76"/>
              </w:rPr>
            </w:pPr>
            <w:r w:rsidRPr="006A4103">
              <w:rPr>
                <w:rFonts w:ascii="Calibri" w:hAnsi="Calibri"/>
                <w:color w:val="3F3F76"/>
              </w:rPr>
              <w:t>Økning</w:t>
            </w:r>
          </w:p>
        </w:tc>
        <w:tc>
          <w:tcPr>
            <w:tcW w:w="4722" w:type="dxa"/>
            <w:gridSpan w:val="4"/>
            <w:tcBorders>
              <w:top w:val="single" w:sz="4" w:space="0" w:color="7F7F7F"/>
              <w:left w:val="nil"/>
              <w:bottom w:val="single" w:sz="4" w:space="0" w:color="7F7F7F"/>
              <w:right w:val="single" w:sz="4" w:space="0" w:color="7F7F7F"/>
            </w:tcBorders>
            <w:shd w:val="clear" w:color="000000" w:fill="F2F2F2"/>
            <w:noWrap/>
            <w:vAlign w:val="bottom"/>
            <w:hideMark/>
          </w:tcPr>
          <w:p w:rsidR="00D62A57" w:rsidRPr="006A4103" w:rsidRDefault="00D62A57" w:rsidP="00D62A57">
            <w:pPr>
              <w:jc w:val="center"/>
              <w:rPr>
                <w:rFonts w:ascii="Calibri" w:hAnsi="Calibri"/>
                <w:b/>
                <w:bCs/>
                <w:color w:val="FA7D00"/>
              </w:rPr>
            </w:pPr>
            <w:r w:rsidRPr="006A4103">
              <w:rPr>
                <w:rFonts w:ascii="Calibri" w:hAnsi="Calibri"/>
                <w:b/>
                <w:bCs/>
                <w:color w:val="FA7D00"/>
              </w:rPr>
              <w:t>Reduksjon</w:t>
            </w:r>
          </w:p>
        </w:tc>
      </w:tr>
      <w:tr w:rsidR="00D62A57" w:rsidRPr="006A4103" w:rsidTr="00AC206F">
        <w:trPr>
          <w:trHeight w:val="282"/>
        </w:trPr>
        <w:tc>
          <w:tcPr>
            <w:tcW w:w="1294"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6A4103" w:rsidRDefault="00D62A57" w:rsidP="00D62A57">
            <w:pPr>
              <w:jc w:val="right"/>
              <w:rPr>
                <w:rFonts w:ascii="Calibri" w:hAnsi="Calibri"/>
                <w:color w:val="3F3F76"/>
              </w:rPr>
            </w:pPr>
            <w:r w:rsidRPr="006A4103">
              <w:rPr>
                <w:rFonts w:ascii="Calibri" w:hAnsi="Calibri"/>
                <w:color w:val="3F3F76"/>
              </w:rPr>
              <w:t>2018</w:t>
            </w:r>
          </w:p>
        </w:tc>
        <w:tc>
          <w:tcPr>
            <w:tcW w:w="1294" w:type="dxa"/>
            <w:tcBorders>
              <w:top w:val="nil"/>
              <w:left w:val="nil"/>
              <w:bottom w:val="single" w:sz="4" w:space="0" w:color="7F7F7F"/>
              <w:right w:val="single" w:sz="4" w:space="0" w:color="7F7F7F"/>
            </w:tcBorders>
            <w:shd w:val="clear" w:color="000000" w:fill="FFCC99"/>
            <w:noWrap/>
            <w:vAlign w:val="bottom"/>
            <w:hideMark/>
          </w:tcPr>
          <w:p w:rsidR="00D62A57" w:rsidRPr="006A4103" w:rsidRDefault="00D62A57" w:rsidP="00D62A57">
            <w:pPr>
              <w:jc w:val="right"/>
              <w:rPr>
                <w:rFonts w:ascii="Calibri" w:hAnsi="Calibri"/>
                <w:color w:val="3F3F76"/>
              </w:rPr>
            </w:pPr>
            <w:r w:rsidRPr="006A4103">
              <w:rPr>
                <w:rFonts w:ascii="Calibri" w:hAnsi="Calibri"/>
                <w:color w:val="3F3F76"/>
              </w:rPr>
              <w:t>2019</w:t>
            </w:r>
          </w:p>
        </w:tc>
        <w:tc>
          <w:tcPr>
            <w:tcW w:w="1294" w:type="dxa"/>
            <w:tcBorders>
              <w:top w:val="nil"/>
              <w:left w:val="nil"/>
              <w:bottom w:val="single" w:sz="4" w:space="0" w:color="7F7F7F"/>
              <w:right w:val="single" w:sz="4" w:space="0" w:color="7F7F7F"/>
            </w:tcBorders>
            <w:shd w:val="clear" w:color="000000" w:fill="FFCC99"/>
            <w:noWrap/>
            <w:vAlign w:val="bottom"/>
            <w:hideMark/>
          </w:tcPr>
          <w:p w:rsidR="00D62A57" w:rsidRPr="006A4103" w:rsidRDefault="00D62A57" w:rsidP="00D62A57">
            <w:pPr>
              <w:jc w:val="right"/>
              <w:rPr>
                <w:rFonts w:ascii="Calibri" w:hAnsi="Calibri"/>
                <w:color w:val="3F3F76"/>
              </w:rPr>
            </w:pPr>
            <w:r w:rsidRPr="006A4103">
              <w:rPr>
                <w:rFonts w:ascii="Calibri" w:hAnsi="Calibri"/>
                <w:color w:val="3F3F76"/>
              </w:rPr>
              <w:t>2020</w:t>
            </w:r>
          </w:p>
        </w:tc>
        <w:tc>
          <w:tcPr>
            <w:tcW w:w="1294" w:type="dxa"/>
            <w:tcBorders>
              <w:top w:val="nil"/>
              <w:left w:val="nil"/>
              <w:bottom w:val="single" w:sz="4" w:space="0" w:color="7F7F7F"/>
              <w:right w:val="single" w:sz="4" w:space="0" w:color="7F7F7F"/>
            </w:tcBorders>
            <w:shd w:val="clear" w:color="000000" w:fill="FFCC99"/>
            <w:noWrap/>
            <w:vAlign w:val="bottom"/>
            <w:hideMark/>
          </w:tcPr>
          <w:p w:rsidR="00D62A57" w:rsidRPr="006A4103" w:rsidRDefault="00D62A57" w:rsidP="00D62A57">
            <w:pPr>
              <w:jc w:val="right"/>
              <w:rPr>
                <w:rFonts w:ascii="Calibri" w:hAnsi="Calibri"/>
                <w:color w:val="3F3F76"/>
              </w:rPr>
            </w:pPr>
            <w:r w:rsidRPr="006A4103">
              <w:rPr>
                <w:rFonts w:ascii="Calibri" w:hAnsi="Calibri"/>
                <w:color w:val="3F3F76"/>
              </w:rPr>
              <w:t>2021</w:t>
            </w:r>
          </w:p>
        </w:tc>
        <w:tc>
          <w:tcPr>
            <w:tcW w:w="1164"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jc w:val="right"/>
              <w:rPr>
                <w:rFonts w:ascii="Calibri" w:hAnsi="Calibri"/>
                <w:b/>
                <w:bCs/>
                <w:color w:val="FA7D00"/>
              </w:rPr>
            </w:pPr>
            <w:r w:rsidRPr="006A4103">
              <w:rPr>
                <w:rFonts w:ascii="Calibri" w:hAnsi="Calibri"/>
                <w:b/>
                <w:bCs/>
                <w:color w:val="FA7D00"/>
              </w:rPr>
              <w:t>2018</w:t>
            </w:r>
          </w:p>
        </w:tc>
        <w:tc>
          <w:tcPr>
            <w:tcW w:w="1197"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jc w:val="right"/>
              <w:rPr>
                <w:rFonts w:ascii="Calibri" w:hAnsi="Calibri"/>
                <w:b/>
                <w:bCs/>
                <w:color w:val="FA7D00"/>
              </w:rPr>
            </w:pPr>
            <w:r w:rsidRPr="006A4103">
              <w:rPr>
                <w:rFonts w:ascii="Calibri" w:hAnsi="Calibri"/>
                <w:b/>
                <w:bCs/>
                <w:color w:val="FA7D00"/>
              </w:rPr>
              <w:t>2019</w:t>
            </w:r>
          </w:p>
        </w:tc>
        <w:tc>
          <w:tcPr>
            <w:tcW w:w="1164"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jc w:val="right"/>
              <w:rPr>
                <w:rFonts w:ascii="Calibri" w:hAnsi="Calibri"/>
                <w:b/>
                <w:bCs/>
                <w:color w:val="FA7D00"/>
              </w:rPr>
            </w:pPr>
            <w:r w:rsidRPr="006A4103">
              <w:rPr>
                <w:rFonts w:ascii="Calibri" w:hAnsi="Calibri"/>
                <w:b/>
                <w:bCs/>
                <w:color w:val="FA7D00"/>
              </w:rPr>
              <w:t>2020</w:t>
            </w:r>
          </w:p>
        </w:tc>
        <w:tc>
          <w:tcPr>
            <w:tcW w:w="1197"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jc w:val="right"/>
              <w:rPr>
                <w:rFonts w:ascii="Calibri" w:hAnsi="Calibri"/>
                <w:b/>
                <w:bCs/>
                <w:color w:val="FA7D00"/>
              </w:rPr>
            </w:pPr>
            <w:r w:rsidRPr="006A4103">
              <w:rPr>
                <w:rFonts w:ascii="Calibri" w:hAnsi="Calibri"/>
                <w:b/>
                <w:bCs/>
                <w:color w:val="FA7D00"/>
              </w:rPr>
              <w:t>2021</w:t>
            </w:r>
          </w:p>
        </w:tc>
      </w:tr>
      <w:tr w:rsidR="00D62A57" w:rsidRPr="006A4103" w:rsidTr="00AC206F">
        <w:trPr>
          <w:trHeight w:val="565"/>
        </w:trPr>
        <w:tc>
          <w:tcPr>
            <w:tcW w:w="1294" w:type="dxa"/>
            <w:tcBorders>
              <w:top w:val="nil"/>
              <w:left w:val="single" w:sz="4" w:space="0" w:color="7F7F7F"/>
              <w:bottom w:val="single" w:sz="4" w:space="0" w:color="7F7F7F"/>
              <w:right w:val="single" w:sz="4" w:space="0" w:color="7F7F7F"/>
            </w:tcBorders>
            <w:shd w:val="clear" w:color="000000" w:fill="FFCC99"/>
            <w:vAlign w:val="bottom"/>
            <w:hideMark/>
          </w:tcPr>
          <w:p w:rsidR="00D62A57" w:rsidRPr="006A4103" w:rsidRDefault="00D62A57" w:rsidP="00D62A57">
            <w:pPr>
              <w:rPr>
                <w:rFonts w:ascii="Calibri" w:hAnsi="Calibri"/>
                <w:color w:val="3F3F76"/>
              </w:rPr>
            </w:pPr>
            <w:r w:rsidRPr="006A4103">
              <w:rPr>
                <w:rFonts w:ascii="Calibri" w:hAnsi="Calibri"/>
                <w:color w:val="3F3F76"/>
              </w:rPr>
              <w:t>40 % helse -sekr.</w:t>
            </w:r>
          </w:p>
        </w:tc>
        <w:tc>
          <w:tcPr>
            <w:tcW w:w="1294" w:type="dxa"/>
            <w:tcBorders>
              <w:top w:val="nil"/>
              <w:left w:val="nil"/>
              <w:bottom w:val="single" w:sz="4" w:space="0" w:color="7F7F7F"/>
              <w:right w:val="single" w:sz="4" w:space="0" w:color="7F7F7F"/>
            </w:tcBorders>
            <w:shd w:val="clear" w:color="000000" w:fill="FFCC99"/>
            <w:vAlign w:val="bottom"/>
            <w:hideMark/>
          </w:tcPr>
          <w:p w:rsidR="00D62A57" w:rsidRPr="006A4103" w:rsidRDefault="00D62A57" w:rsidP="00D62A57">
            <w:pPr>
              <w:rPr>
                <w:rFonts w:ascii="Calibri" w:hAnsi="Calibri"/>
                <w:color w:val="3F3F76"/>
              </w:rPr>
            </w:pPr>
            <w:r w:rsidRPr="006A4103">
              <w:rPr>
                <w:rFonts w:ascii="Calibri" w:hAnsi="Calibri"/>
                <w:color w:val="3F3F76"/>
              </w:rPr>
              <w:t>40 % helse -sekr.</w:t>
            </w:r>
          </w:p>
        </w:tc>
        <w:tc>
          <w:tcPr>
            <w:tcW w:w="1294" w:type="dxa"/>
            <w:tcBorders>
              <w:top w:val="nil"/>
              <w:left w:val="nil"/>
              <w:bottom w:val="single" w:sz="4" w:space="0" w:color="7F7F7F"/>
              <w:right w:val="single" w:sz="4" w:space="0" w:color="7F7F7F"/>
            </w:tcBorders>
            <w:shd w:val="clear" w:color="000000" w:fill="FFCC99"/>
            <w:vAlign w:val="bottom"/>
            <w:hideMark/>
          </w:tcPr>
          <w:p w:rsidR="00D62A57" w:rsidRPr="006A4103" w:rsidRDefault="00D62A57" w:rsidP="00D62A57">
            <w:pPr>
              <w:rPr>
                <w:rFonts w:ascii="Calibri" w:hAnsi="Calibri"/>
                <w:color w:val="3F3F76"/>
              </w:rPr>
            </w:pPr>
            <w:r w:rsidRPr="006A4103">
              <w:rPr>
                <w:rFonts w:ascii="Calibri" w:hAnsi="Calibri"/>
                <w:color w:val="3F3F76"/>
              </w:rPr>
              <w:t>40 % helse -sekr.</w:t>
            </w:r>
          </w:p>
        </w:tc>
        <w:tc>
          <w:tcPr>
            <w:tcW w:w="1294" w:type="dxa"/>
            <w:tcBorders>
              <w:top w:val="nil"/>
              <w:left w:val="nil"/>
              <w:bottom w:val="single" w:sz="4" w:space="0" w:color="7F7F7F"/>
              <w:right w:val="single" w:sz="4" w:space="0" w:color="7F7F7F"/>
            </w:tcBorders>
            <w:shd w:val="clear" w:color="000000" w:fill="FFCC99"/>
            <w:vAlign w:val="bottom"/>
            <w:hideMark/>
          </w:tcPr>
          <w:p w:rsidR="00D62A57" w:rsidRPr="006A4103" w:rsidRDefault="00D62A57" w:rsidP="00D62A57">
            <w:pPr>
              <w:rPr>
                <w:rFonts w:ascii="Calibri" w:hAnsi="Calibri"/>
                <w:color w:val="3F3F76"/>
              </w:rPr>
            </w:pPr>
            <w:r w:rsidRPr="006A4103">
              <w:rPr>
                <w:rFonts w:ascii="Calibri" w:hAnsi="Calibri"/>
                <w:color w:val="3F3F76"/>
              </w:rPr>
              <w:t>40 % helse -sekr.</w:t>
            </w:r>
          </w:p>
        </w:tc>
        <w:tc>
          <w:tcPr>
            <w:tcW w:w="1164"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 </w:t>
            </w:r>
          </w:p>
        </w:tc>
        <w:tc>
          <w:tcPr>
            <w:tcW w:w="1197"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 </w:t>
            </w:r>
          </w:p>
        </w:tc>
        <w:tc>
          <w:tcPr>
            <w:tcW w:w="1164"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 </w:t>
            </w:r>
          </w:p>
        </w:tc>
        <w:tc>
          <w:tcPr>
            <w:tcW w:w="1197"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 </w:t>
            </w:r>
          </w:p>
        </w:tc>
      </w:tr>
      <w:tr w:rsidR="00D62A57" w:rsidRPr="006A4103" w:rsidTr="00AC206F">
        <w:trPr>
          <w:trHeight w:val="848"/>
        </w:trPr>
        <w:tc>
          <w:tcPr>
            <w:tcW w:w="1294"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 </w:t>
            </w:r>
          </w:p>
        </w:tc>
        <w:tc>
          <w:tcPr>
            <w:tcW w:w="1294" w:type="dxa"/>
            <w:tcBorders>
              <w:top w:val="nil"/>
              <w:left w:val="nil"/>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 </w:t>
            </w:r>
          </w:p>
        </w:tc>
        <w:tc>
          <w:tcPr>
            <w:tcW w:w="1294" w:type="dxa"/>
            <w:tcBorders>
              <w:top w:val="nil"/>
              <w:left w:val="nil"/>
              <w:bottom w:val="single" w:sz="4" w:space="0" w:color="7F7F7F"/>
              <w:right w:val="single" w:sz="4" w:space="0" w:color="7F7F7F"/>
            </w:tcBorders>
            <w:shd w:val="clear" w:color="000000" w:fill="FFCC99"/>
            <w:vAlign w:val="bottom"/>
            <w:hideMark/>
          </w:tcPr>
          <w:p w:rsidR="00D62A57" w:rsidRPr="006A4103" w:rsidRDefault="00D62A57" w:rsidP="00D62A57">
            <w:pPr>
              <w:rPr>
                <w:rFonts w:ascii="Calibri" w:hAnsi="Calibri"/>
                <w:color w:val="3F3F76"/>
              </w:rPr>
            </w:pPr>
            <w:r>
              <w:rPr>
                <w:rFonts w:ascii="Calibri" w:hAnsi="Calibri"/>
                <w:color w:val="3F3F76"/>
              </w:rPr>
              <w:t>300%     nattevakt</w:t>
            </w:r>
            <w:r w:rsidRPr="006A4103">
              <w:rPr>
                <w:rFonts w:ascii="Calibri" w:hAnsi="Calibri"/>
                <w:color w:val="3F3F76"/>
              </w:rPr>
              <w:t xml:space="preserve">  Hj.tj.</w:t>
            </w:r>
          </w:p>
        </w:tc>
        <w:tc>
          <w:tcPr>
            <w:tcW w:w="1294" w:type="dxa"/>
            <w:tcBorders>
              <w:top w:val="nil"/>
              <w:left w:val="nil"/>
              <w:bottom w:val="single" w:sz="4" w:space="0" w:color="7F7F7F"/>
              <w:right w:val="single" w:sz="4" w:space="0" w:color="7F7F7F"/>
            </w:tcBorders>
            <w:shd w:val="clear" w:color="000000" w:fill="FFCC99"/>
            <w:vAlign w:val="bottom"/>
            <w:hideMark/>
          </w:tcPr>
          <w:p w:rsidR="00D62A57" w:rsidRPr="006A4103" w:rsidRDefault="00D62A57" w:rsidP="00D62A57">
            <w:pPr>
              <w:rPr>
                <w:rFonts w:ascii="Calibri" w:hAnsi="Calibri"/>
                <w:color w:val="3F3F76"/>
              </w:rPr>
            </w:pPr>
            <w:r>
              <w:rPr>
                <w:rFonts w:ascii="Calibri" w:hAnsi="Calibri"/>
                <w:color w:val="3F3F76"/>
              </w:rPr>
              <w:t>300% nattevakt</w:t>
            </w:r>
            <w:r w:rsidRPr="006A4103">
              <w:rPr>
                <w:rFonts w:ascii="Calibri" w:hAnsi="Calibri"/>
                <w:color w:val="3F3F76"/>
              </w:rPr>
              <w:t xml:space="preserve"> </w:t>
            </w:r>
            <w:r>
              <w:rPr>
                <w:rFonts w:ascii="Calibri" w:hAnsi="Calibri"/>
                <w:color w:val="3F3F76"/>
              </w:rPr>
              <w:t xml:space="preserve"> </w:t>
            </w:r>
            <w:r w:rsidRPr="006A4103">
              <w:rPr>
                <w:rFonts w:ascii="Calibri" w:hAnsi="Calibri"/>
                <w:color w:val="3F3F76"/>
              </w:rPr>
              <w:t>Hj.tj.</w:t>
            </w:r>
          </w:p>
        </w:tc>
        <w:tc>
          <w:tcPr>
            <w:tcW w:w="1164"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 </w:t>
            </w:r>
          </w:p>
        </w:tc>
        <w:tc>
          <w:tcPr>
            <w:tcW w:w="1197"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 </w:t>
            </w:r>
          </w:p>
        </w:tc>
        <w:tc>
          <w:tcPr>
            <w:tcW w:w="1164"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 </w:t>
            </w:r>
          </w:p>
        </w:tc>
        <w:tc>
          <w:tcPr>
            <w:tcW w:w="1197"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 </w:t>
            </w:r>
          </w:p>
        </w:tc>
      </w:tr>
      <w:tr w:rsidR="00D62A57" w:rsidRPr="006A4103" w:rsidTr="00AC206F">
        <w:trPr>
          <w:trHeight w:val="565"/>
        </w:trPr>
        <w:tc>
          <w:tcPr>
            <w:tcW w:w="1294"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 </w:t>
            </w:r>
          </w:p>
        </w:tc>
        <w:tc>
          <w:tcPr>
            <w:tcW w:w="1294" w:type="dxa"/>
            <w:tcBorders>
              <w:top w:val="nil"/>
              <w:left w:val="nil"/>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 </w:t>
            </w:r>
          </w:p>
        </w:tc>
        <w:tc>
          <w:tcPr>
            <w:tcW w:w="1294" w:type="dxa"/>
            <w:tcBorders>
              <w:top w:val="nil"/>
              <w:left w:val="nil"/>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 </w:t>
            </w:r>
          </w:p>
        </w:tc>
        <w:tc>
          <w:tcPr>
            <w:tcW w:w="1294" w:type="dxa"/>
            <w:tcBorders>
              <w:top w:val="nil"/>
              <w:left w:val="nil"/>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 </w:t>
            </w:r>
          </w:p>
        </w:tc>
        <w:tc>
          <w:tcPr>
            <w:tcW w:w="1164" w:type="dxa"/>
            <w:tcBorders>
              <w:top w:val="nil"/>
              <w:left w:val="nil"/>
              <w:bottom w:val="single" w:sz="4" w:space="0" w:color="7F7F7F"/>
              <w:right w:val="single" w:sz="4" w:space="0" w:color="7F7F7F"/>
            </w:tcBorders>
            <w:shd w:val="clear" w:color="000000" w:fill="F2F2F2"/>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 xml:space="preserve">75% </w:t>
            </w:r>
            <w:proofErr w:type="spellStart"/>
            <w:r w:rsidRPr="006A4103">
              <w:rPr>
                <w:rFonts w:ascii="Calibri" w:hAnsi="Calibri"/>
                <w:b/>
                <w:bCs/>
                <w:color w:val="FA7D00"/>
              </w:rPr>
              <w:t>hj.hjelp</w:t>
            </w:r>
            <w:proofErr w:type="spellEnd"/>
          </w:p>
        </w:tc>
        <w:tc>
          <w:tcPr>
            <w:tcW w:w="1197" w:type="dxa"/>
            <w:tcBorders>
              <w:top w:val="nil"/>
              <w:left w:val="nil"/>
              <w:bottom w:val="single" w:sz="4" w:space="0" w:color="7F7F7F"/>
              <w:right w:val="single" w:sz="4" w:space="0" w:color="7F7F7F"/>
            </w:tcBorders>
            <w:shd w:val="clear" w:color="000000" w:fill="F2F2F2"/>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 xml:space="preserve">75%   </w:t>
            </w:r>
            <w:proofErr w:type="spellStart"/>
            <w:r w:rsidRPr="006A4103">
              <w:rPr>
                <w:rFonts w:ascii="Calibri" w:hAnsi="Calibri"/>
                <w:b/>
                <w:bCs/>
                <w:color w:val="FA7D00"/>
              </w:rPr>
              <w:t>hj.hjelp</w:t>
            </w:r>
            <w:proofErr w:type="spellEnd"/>
          </w:p>
        </w:tc>
        <w:tc>
          <w:tcPr>
            <w:tcW w:w="1164" w:type="dxa"/>
            <w:tcBorders>
              <w:top w:val="nil"/>
              <w:left w:val="nil"/>
              <w:bottom w:val="single" w:sz="4" w:space="0" w:color="7F7F7F"/>
              <w:right w:val="single" w:sz="4" w:space="0" w:color="7F7F7F"/>
            </w:tcBorders>
            <w:shd w:val="clear" w:color="000000" w:fill="F2F2F2"/>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 xml:space="preserve">75%   </w:t>
            </w:r>
            <w:proofErr w:type="spellStart"/>
            <w:r w:rsidRPr="006A4103">
              <w:rPr>
                <w:rFonts w:ascii="Calibri" w:hAnsi="Calibri"/>
                <w:b/>
                <w:bCs/>
                <w:color w:val="FA7D00"/>
              </w:rPr>
              <w:t>hj.hjelp</w:t>
            </w:r>
            <w:proofErr w:type="spellEnd"/>
          </w:p>
        </w:tc>
        <w:tc>
          <w:tcPr>
            <w:tcW w:w="1197" w:type="dxa"/>
            <w:tcBorders>
              <w:top w:val="nil"/>
              <w:left w:val="nil"/>
              <w:bottom w:val="single" w:sz="4" w:space="0" w:color="7F7F7F"/>
              <w:right w:val="single" w:sz="4" w:space="0" w:color="7F7F7F"/>
            </w:tcBorders>
            <w:shd w:val="clear" w:color="000000" w:fill="F2F2F2"/>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 xml:space="preserve">75%   </w:t>
            </w:r>
            <w:proofErr w:type="spellStart"/>
            <w:r w:rsidRPr="006A4103">
              <w:rPr>
                <w:rFonts w:ascii="Calibri" w:hAnsi="Calibri"/>
                <w:b/>
                <w:bCs/>
                <w:color w:val="FA7D00"/>
              </w:rPr>
              <w:t>hj.hjelp</w:t>
            </w:r>
            <w:proofErr w:type="spellEnd"/>
          </w:p>
        </w:tc>
      </w:tr>
      <w:tr w:rsidR="00D62A57" w:rsidRPr="006A4103" w:rsidTr="00AC206F">
        <w:trPr>
          <w:trHeight w:val="282"/>
        </w:trPr>
        <w:tc>
          <w:tcPr>
            <w:tcW w:w="1294"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100% Solsikken</w:t>
            </w:r>
          </w:p>
        </w:tc>
        <w:tc>
          <w:tcPr>
            <w:tcW w:w="1294" w:type="dxa"/>
            <w:tcBorders>
              <w:top w:val="nil"/>
              <w:left w:val="nil"/>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100% Solsikken</w:t>
            </w:r>
          </w:p>
        </w:tc>
        <w:tc>
          <w:tcPr>
            <w:tcW w:w="1294" w:type="dxa"/>
            <w:tcBorders>
              <w:top w:val="nil"/>
              <w:left w:val="nil"/>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100% Solsikken</w:t>
            </w:r>
          </w:p>
        </w:tc>
        <w:tc>
          <w:tcPr>
            <w:tcW w:w="1294" w:type="dxa"/>
            <w:tcBorders>
              <w:top w:val="nil"/>
              <w:left w:val="nil"/>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100% Solsikken</w:t>
            </w:r>
          </w:p>
        </w:tc>
        <w:tc>
          <w:tcPr>
            <w:tcW w:w="1164"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 </w:t>
            </w:r>
          </w:p>
        </w:tc>
        <w:tc>
          <w:tcPr>
            <w:tcW w:w="1197"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 </w:t>
            </w:r>
          </w:p>
        </w:tc>
        <w:tc>
          <w:tcPr>
            <w:tcW w:w="1164"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 </w:t>
            </w:r>
          </w:p>
        </w:tc>
        <w:tc>
          <w:tcPr>
            <w:tcW w:w="1197"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 </w:t>
            </w:r>
          </w:p>
        </w:tc>
      </w:tr>
      <w:tr w:rsidR="00AC206F" w:rsidRPr="006A4103" w:rsidTr="00AC206F">
        <w:trPr>
          <w:trHeight w:val="565"/>
        </w:trPr>
        <w:tc>
          <w:tcPr>
            <w:tcW w:w="1294" w:type="dxa"/>
            <w:tcBorders>
              <w:top w:val="nil"/>
              <w:left w:val="single" w:sz="4" w:space="0" w:color="7F7F7F"/>
              <w:bottom w:val="single" w:sz="4" w:space="0" w:color="7F7F7F"/>
              <w:right w:val="single" w:sz="4" w:space="0" w:color="7F7F7F"/>
            </w:tcBorders>
            <w:shd w:val="clear" w:color="000000" w:fill="FFCC99"/>
            <w:noWrap/>
            <w:vAlign w:val="bottom"/>
          </w:tcPr>
          <w:p w:rsidR="00AC206F" w:rsidRPr="006A4103" w:rsidRDefault="00AC206F" w:rsidP="00D62A57">
            <w:pPr>
              <w:rPr>
                <w:rFonts w:ascii="Calibri" w:hAnsi="Calibri"/>
                <w:color w:val="3F3F76"/>
              </w:rPr>
            </w:pPr>
          </w:p>
        </w:tc>
        <w:tc>
          <w:tcPr>
            <w:tcW w:w="1294" w:type="dxa"/>
            <w:tcBorders>
              <w:top w:val="nil"/>
              <w:left w:val="nil"/>
              <w:bottom w:val="single" w:sz="4" w:space="0" w:color="7F7F7F"/>
              <w:right w:val="single" w:sz="4" w:space="0" w:color="7F7F7F"/>
            </w:tcBorders>
            <w:shd w:val="clear" w:color="000000" w:fill="FFCC99"/>
            <w:noWrap/>
            <w:vAlign w:val="bottom"/>
          </w:tcPr>
          <w:p w:rsidR="00AC206F" w:rsidRPr="006A4103" w:rsidRDefault="00AC206F" w:rsidP="00D62A57">
            <w:pPr>
              <w:rPr>
                <w:rFonts w:ascii="Calibri" w:hAnsi="Calibri"/>
                <w:color w:val="3F3F76"/>
              </w:rPr>
            </w:pPr>
          </w:p>
        </w:tc>
        <w:tc>
          <w:tcPr>
            <w:tcW w:w="1294" w:type="dxa"/>
            <w:tcBorders>
              <w:top w:val="nil"/>
              <w:left w:val="nil"/>
              <w:bottom w:val="single" w:sz="4" w:space="0" w:color="7F7F7F"/>
              <w:right w:val="single" w:sz="4" w:space="0" w:color="7F7F7F"/>
            </w:tcBorders>
            <w:shd w:val="clear" w:color="000000" w:fill="FFCC99"/>
            <w:noWrap/>
            <w:vAlign w:val="bottom"/>
          </w:tcPr>
          <w:p w:rsidR="00AC206F" w:rsidRPr="006A4103" w:rsidRDefault="00AC206F" w:rsidP="00D62A57">
            <w:pPr>
              <w:rPr>
                <w:rFonts w:ascii="Calibri" w:hAnsi="Calibri"/>
                <w:color w:val="3F3F76"/>
              </w:rPr>
            </w:pPr>
          </w:p>
        </w:tc>
        <w:tc>
          <w:tcPr>
            <w:tcW w:w="1294" w:type="dxa"/>
            <w:tcBorders>
              <w:top w:val="nil"/>
              <w:left w:val="nil"/>
              <w:bottom w:val="single" w:sz="4" w:space="0" w:color="7F7F7F"/>
              <w:right w:val="single" w:sz="4" w:space="0" w:color="7F7F7F"/>
            </w:tcBorders>
            <w:shd w:val="clear" w:color="000000" w:fill="FFCC99"/>
            <w:noWrap/>
            <w:vAlign w:val="bottom"/>
          </w:tcPr>
          <w:p w:rsidR="00AC206F" w:rsidRPr="006A4103" w:rsidRDefault="00AC206F" w:rsidP="00D62A57">
            <w:pPr>
              <w:rPr>
                <w:rFonts w:ascii="Calibri" w:hAnsi="Calibri"/>
                <w:color w:val="3F3F76"/>
              </w:rPr>
            </w:pPr>
          </w:p>
        </w:tc>
        <w:tc>
          <w:tcPr>
            <w:tcW w:w="1164" w:type="dxa"/>
            <w:tcBorders>
              <w:top w:val="nil"/>
              <w:left w:val="nil"/>
              <w:bottom w:val="single" w:sz="4" w:space="0" w:color="7F7F7F"/>
              <w:right w:val="single" w:sz="4" w:space="0" w:color="7F7F7F"/>
            </w:tcBorders>
            <w:shd w:val="clear" w:color="000000" w:fill="F2F2F2"/>
            <w:noWrap/>
            <w:vAlign w:val="bottom"/>
          </w:tcPr>
          <w:p w:rsidR="00AC206F" w:rsidRPr="006A4103" w:rsidRDefault="00AC206F" w:rsidP="00D62A57">
            <w:pPr>
              <w:rPr>
                <w:rFonts w:ascii="Calibri" w:hAnsi="Calibri"/>
                <w:b/>
                <w:bCs/>
                <w:color w:val="FA7D00"/>
              </w:rPr>
            </w:pPr>
            <w:r>
              <w:rPr>
                <w:rFonts w:ascii="Calibri" w:hAnsi="Calibri"/>
                <w:b/>
                <w:bCs/>
                <w:color w:val="FA7D00"/>
              </w:rPr>
              <w:t>20 %</w:t>
            </w:r>
          </w:p>
        </w:tc>
        <w:tc>
          <w:tcPr>
            <w:tcW w:w="1197" w:type="dxa"/>
            <w:tcBorders>
              <w:top w:val="nil"/>
              <w:left w:val="nil"/>
              <w:bottom w:val="single" w:sz="4" w:space="0" w:color="7F7F7F"/>
              <w:right w:val="single" w:sz="4" w:space="0" w:color="7F7F7F"/>
            </w:tcBorders>
            <w:shd w:val="clear" w:color="000000" w:fill="F2F2F2"/>
            <w:noWrap/>
            <w:vAlign w:val="bottom"/>
          </w:tcPr>
          <w:p w:rsidR="00AC206F" w:rsidRPr="006A4103" w:rsidRDefault="00AC206F" w:rsidP="00D62A57">
            <w:pPr>
              <w:rPr>
                <w:rFonts w:ascii="Calibri" w:hAnsi="Calibri"/>
                <w:b/>
                <w:bCs/>
                <w:color w:val="FA7D00"/>
              </w:rPr>
            </w:pPr>
            <w:r>
              <w:rPr>
                <w:rFonts w:ascii="Calibri" w:hAnsi="Calibri"/>
                <w:b/>
                <w:bCs/>
                <w:color w:val="FA7D00"/>
              </w:rPr>
              <w:t>20 %</w:t>
            </w:r>
          </w:p>
        </w:tc>
        <w:tc>
          <w:tcPr>
            <w:tcW w:w="1164" w:type="dxa"/>
            <w:tcBorders>
              <w:top w:val="nil"/>
              <w:left w:val="nil"/>
              <w:bottom w:val="single" w:sz="4" w:space="0" w:color="7F7F7F"/>
              <w:right w:val="single" w:sz="4" w:space="0" w:color="7F7F7F"/>
            </w:tcBorders>
            <w:shd w:val="clear" w:color="000000" w:fill="F2F2F2"/>
            <w:noWrap/>
            <w:vAlign w:val="bottom"/>
          </w:tcPr>
          <w:p w:rsidR="00AC206F" w:rsidRPr="006A4103" w:rsidRDefault="00AC206F" w:rsidP="00D62A57">
            <w:pPr>
              <w:rPr>
                <w:rFonts w:ascii="Calibri" w:hAnsi="Calibri"/>
                <w:b/>
                <w:bCs/>
                <w:color w:val="FA7D00"/>
              </w:rPr>
            </w:pPr>
            <w:r>
              <w:rPr>
                <w:rFonts w:ascii="Calibri" w:hAnsi="Calibri"/>
                <w:b/>
                <w:bCs/>
                <w:color w:val="FA7D00"/>
              </w:rPr>
              <w:t>20 %</w:t>
            </w:r>
          </w:p>
        </w:tc>
        <w:tc>
          <w:tcPr>
            <w:tcW w:w="1197" w:type="dxa"/>
            <w:tcBorders>
              <w:top w:val="nil"/>
              <w:left w:val="nil"/>
              <w:bottom w:val="single" w:sz="4" w:space="0" w:color="7F7F7F"/>
              <w:right w:val="single" w:sz="4" w:space="0" w:color="7F7F7F"/>
            </w:tcBorders>
            <w:shd w:val="clear" w:color="000000" w:fill="F2F2F2"/>
            <w:noWrap/>
            <w:vAlign w:val="bottom"/>
          </w:tcPr>
          <w:p w:rsidR="00AC206F" w:rsidRPr="006A4103" w:rsidRDefault="00AC206F" w:rsidP="00D62A57">
            <w:pPr>
              <w:rPr>
                <w:rFonts w:ascii="Calibri" w:hAnsi="Calibri"/>
                <w:b/>
                <w:bCs/>
                <w:color w:val="FA7D00"/>
              </w:rPr>
            </w:pPr>
            <w:r>
              <w:rPr>
                <w:rFonts w:ascii="Calibri" w:hAnsi="Calibri"/>
                <w:b/>
                <w:bCs/>
                <w:color w:val="FA7D00"/>
              </w:rPr>
              <w:t>20 %</w:t>
            </w:r>
          </w:p>
        </w:tc>
      </w:tr>
      <w:tr w:rsidR="00D62A57" w:rsidRPr="006A4103" w:rsidTr="00AC206F">
        <w:trPr>
          <w:trHeight w:val="565"/>
        </w:trPr>
        <w:tc>
          <w:tcPr>
            <w:tcW w:w="1294"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 </w:t>
            </w:r>
          </w:p>
        </w:tc>
        <w:tc>
          <w:tcPr>
            <w:tcW w:w="1294" w:type="dxa"/>
            <w:tcBorders>
              <w:top w:val="nil"/>
              <w:left w:val="nil"/>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 </w:t>
            </w:r>
          </w:p>
        </w:tc>
        <w:tc>
          <w:tcPr>
            <w:tcW w:w="1294" w:type="dxa"/>
            <w:tcBorders>
              <w:top w:val="nil"/>
              <w:left w:val="nil"/>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 </w:t>
            </w:r>
          </w:p>
        </w:tc>
        <w:tc>
          <w:tcPr>
            <w:tcW w:w="1294" w:type="dxa"/>
            <w:tcBorders>
              <w:top w:val="nil"/>
              <w:left w:val="nil"/>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 </w:t>
            </w:r>
          </w:p>
        </w:tc>
        <w:tc>
          <w:tcPr>
            <w:tcW w:w="1164"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40% ROP</w:t>
            </w:r>
          </w:p>
        </w:tc>
        <w:tc>
          <w:tcPr>
            <w:tcW w:w="1197"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40% ROP</w:t>
            </w:r>
          </w:p>
        </w:tc>
        <w:tc>
          <w:tcPr>
            <w:tcW w:w="1164"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40% ROP</w:t>
            </w:r>
          </w:p>
        </w:tc>
        <w:tc>
          <w:tcPr>
            <w:tcW w:w="1197"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40% ROP</w:t>
            </w:r>
          </w:p>
        </w:tc>
      </w:tr>
      <w:tr w:rsidR="00D62A57" w:rsidRPr="006A4103" w:rsidTr="00AC206F">
        <w:trPr>
          <w:trHeight w:val="282"/>
        </w:trPr>
        <w:tc>
          <w:tcPr>
            <w:tcW w:w="1294"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 </w:t>
            </w:r>
          </w:p>
        </w:tc>
        <w:tc>
          <w:tcPr>
            <w:tcW w:w="1294" w:type="dxa"/>
            <w:tcBorders>
              <w:top w:val="nil"/>
              <w:left w:val="nil"/>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 </w:t>
            </w:r>
          </w:p>
        </w:tc>
        <w:tc>
          <w:tcPr>
            <w:tcW w:w="1294" w:type="dxa"/>
            <w:tcBorders>
              <w:top w:val="nil"/>
              <w:left w:val="nil"/>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 </w:t>
            </w:r>
          </w:p>
        </w:tc>
        <w:tc>
          <w:tcPr>
            <w:tcW w:w="1294" w:type="dxa"/>
            <w:tcBorders>
              <w:top w:val="nil"/>
              <w:left w:val="nil"/>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 </w:t>
            </w:r>
          </w:p>
        </w:tc>
        <w:tc>
          <w:tcPr>
            <w:tcW w:w="1164"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 xml:space="preserve">65% </w:t>
            </w:r>
            <w:proofErr w:type="spellStart"/>
            <w:r w:rsidRPr="006A4103">
              <w:rPr>
                <w:rFonts w:ascii="Calibri" w:hAnsi="Calibri"/>
                <w:b/>
                <w:bCs/>
                <w:color w:val="FA7D00"/>
              </w:rPr>
              <w:t>Malenav</w:t>
            </w:r>
            <w:proofErr w:type="spellEnd"/>
          </w:p>
        </w:tc>
        <w:tc>
          <w:tcPr>
            <w:tcW w:w="1197"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 xml:space="preserve">65% </w:t>
            </w:r>
            <w:proofErr w:type="spellStart"/>
            <w:r w:rsidRPr="006A4103">
              <w:rPr>
                <w:rFonts w:ascii="Calibri" w:hAnsi="Calibri"/>
                <w:b/>
                <w:bCs/>
                <w:color w:val="FA7D00"/>
              </w:rPr>
              <w:t>Malenav</w:t>
            </w:r>
            <w:proofErr w:type="spellEnd"/>
          </w:p>
        </w:tc>
        <w:tc>
          <w:tcPr>
            <w:tcW w:w="1164"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 xml:space="preserve">65% </w:t>
            </w:r>
            <w:proofErr w:type="spellStart"/>
            <w:r w:rsidRPr="006A4103">
              <w:rPr>
                <w:rFonts w:ascii="Calibri" w:hAnsi="Calibri"/>
                <w:b/>
                <w:bCs/>
                <w:color w:val="FA7D00"/>
              </w:rPr>
              <w:t>Malenav</w:t>
            </w:r>
            <w:proofErr w:type="spellEnd"/>
          </w:p>
        </w:tc>
        <w:tc>
          <w:tcPr>
            <w:tcW w:w="1197" w:type="dxa"/>
            <w:tcBorders>
              <w:top w:val="nil"/>
              <w:left w:val="nil"/>
              <w:bottom w:val="single" w:sz="4" w:space="0" w:color="7F7F7F"/>
              <w:right w:val="single" w:sz="4" w:space="0" w:color="7F7F7F"/>
            </w:tcBorders>
            <w:shd w:val="clear" w:color="000000" w:fill="F2F2F2"/>
            <w:noWrap/>
            <w:vAlign w:val="bottom"/>
            <w:hideMark/>
          </w:tcPr>
          <w:p w:rsidR="00D62A57" w:rsidRPr="006A4103" w:rsidRDefault="00D62A57" w:rsidP="00D62A57">
            <w:pPr>
              <w:rPr>
                <w:rFonts w:ascii="Calibri" w:hAnsi="Calibri"/>
                <w:b/>
                <w:bCs/>
                <w:color w:val="FA7D00"/>
              </w:rPr>
            </w:pPr>
            <w:r w:rsidRPr="006A4103">
              <w:rPr>
                <w:rFonts w:ascii="Calibri" w:hAnsi="Calibri"/>
                <w:b/>
                <w:bCs/>
                <w:color w:val="FA7D00"/>
              </w:rPr>
              <w:t xml:space="preserve">65% </w:t>
            </w:r>
            <w:proofErr w:type="spellStart"/>
            <w:r w:rsidRPr="006A4103">
              <w:rPr>
                <w:rFonts w:ascii="Calibri" w:hAnsi="Calibri"/>
                <w:b/>
                <w:bCs/>
                <w:color w:val="FA7D00"/>
              </w:rPr>
              <w:t>Malenav</w:t>
            </w:r>
            <w:proofErr w:type="spellEnd"/>
          </w:p>
        </w:tc>
      </w:tr>
      <w:tr w:rsidR="00D62A57" w:rsidRPr="006A4103" w:rsidTr="00AC206F">
        <w:trPr>
          <w:trHeight w:val="282"/>
        </w:trPr>
        <w:tc>
          <w:tcPr>
            <w:tcW w:w="1294"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 </w:t>
            </w:r>
          </w:p>
        </w:tc>
        <w:tc>
          <w:tcPr>
            <w:tcW w:w="1294" w:type="dxa"/>
            <w:tcBorders>
              <w:top w:val="nil"/>
              <w:left w:val="nil"/>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 </w:t>
            </w:r>
          </w:p>
        </w:tc>
        <w:tc>
          <w:tcPr>
            <w:tcW w:w="1294" w:type="dxa"/>
            <w:tcBorders>
              <w:top w:val="nil"/>
              <w:left w:val="nil"/>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 </w:t>
            </w:r>
          </w:p>
        </w:tc>
        <w:tc>
          <w:tcPr>
            <w:tcW w:w="1294" w:type="dxa"/>
            <w:tcBorders>
              <w:top w:val="nil"/>
              <w:left w:val="nil"/>
              <w:bottom w:val="single" w:sz="4" w:space="0" w:color="7F7F7F"/>
              <w:right w:val="single" w:sz="4" w:space="0" w:color="7F7F7F"/>
            </w:tcBorders>
            <w:shd w:val="clear" w:color="000000" w:fill="FFCC99"/>
            <w:noWrap/>
            <w:vAlign w:val="bottom"/>
            <w:hideMark/>
          </w:tcPr>
          <w:p w:rsidR="00D62A57" w:rsidRPr="006A4103" w:rsidRDefault="00D62A57" w:rsidP="00D62A57">
            <w:pPr>
              <w:rPr>
                <w:rFonts w:ascii="Calibri" w:hAnsi="Calibri"/>
                <w:color w:val="3F3F76"/>
              </w:rPr>
            </w:pPr>
            <w:r w:rsidRPr="006A4103">
              <w:rPr>
                <w:rFonts w:ascii="Calibri" w:hAnsi="Calibri"/>
                <w:color w:val="3F3F76"/>
              </w:rPr>
              <w:t> </w:t>
            </w:r>
          </w:p>
        </w:tc>
        <w:tc>
          <w:tcPr>
            <w:tcW w:w="1164" w:type="dxa"/>
            <w:tcBorders>
              <w:top w:val="nil"/>
              <w:left w:val="nil"/>
              <w:bottom w:val="single" w:sz="4" w:space="0" w:color="7F7F7F"/>
              <w:right w:val="single" w:sz="4" w:space="0" w:color="7F7F7F"/>
            </w:tcBorders>
            <w:shd w:val="clear" w:color="000000" w:fill="F2F2F2"/>
            <w:noWrap/>
            <w:vAlign w:val="bottom"/>
            <w:hideMark/>
          </w:tcPr>
          <w:p w:rsidR="00D62A57" w:rsidRPr="00160600" w:rsidRDefault="00D62A57" w:rsidP="00D62A57">
            <w:pPr>
              <w:rPr>
                <w:rFonts w:ascii="Calibri" w:hAnsi="Calibri"/>
                <w:b/>
                <w:bCs/>
                <w:color w:val="FA7D00"/>
              </w:rPr>
            </w:pPr>
            <w:r w:rsidRPr="00160600">
              <w:rPr>
                <w:rFonts w:ascii="Calibri" w:hAnsi="Calibri"/>
                <w:b/>
                <w:bCs/>
                <w:color w:val="FA7D00"/>
              </w:rPr>
              <w:t> </w:t>
            </w:r>
            <w:r>
              <w:rPr>
                <w:rFonts w:ascii="Calibri" w:hAnsi="Calibri"/>
                <w:b/>
                <w:bCs/>
                <w:color w:val="FA7D00"/>
              </w:rPr>
              <w:t>200% hj.tj</w:t>
            </w:r>
          </w:p>
        </w:tc>
        <w:tc>
          <w:tcPr>
            <w:tcW w:w="1197" w:type="dxa"/>
            <w:tcBorders>
              <w:top w:val="nil"/>
              <w:left w:val="nil"/>
              <w:bottom w:val="single" w:sz="4" w:space="0" w:color="7F7F7F"/>
              <w:right w:val="single" w:sz="4" w:space="0" w:color="7F7F7F"/>
            </w:tcBorders>
            <w:shd w:val="clear" w:color="000000" w:fill="F2F2F2"/>
            <w:noWrap/>
            <w:vAlign w:val="bottom"/>
            <w:hideMark/>
          </w:tcPr>
          <w:p w:rsidR="00D62A57" w:rsidRPr="00160600" w:rsidRDefault="00D62A57" w:rsidP="00D62A57">
            <w:pPr>
              <w:rPr>
                <w:rFonts w:ascii="Calibri" w:hAnsi="Calibri"/>
                <w:b/>
                <w:bCs/>
                <w:color w:val="FA7D00"/>
              </w:rPr>
            </w:pPr>
            <w:r>
              <w:rPr>
                <w:rFonts w:ascii="Calibri" w:hAnsi="Calibri"/>
                <w:b/>
                <w:bCs/>
                <w:color w:val="FA7D00"/>
              </w:rPr>
              <w:t>200%</w:t>
            </w:r>
            <w:r w:rsidRPr="00160600">
              <w:rPr>
                <w:rFonts w:ascii="Calibri" w:hAnsi="Calibri"/>
                <w:b/>
                <w:bCs/>
                <w:color w:val="FA7D00"/>
              </w:rPr>
              <w:t> </w:t>
            </w:r>
            <w:r>
              <w:rPr>
                <w:rFonts w:ascii="Calibri" w:hAnsi="Calibri"/>
                <w:b/>
                <w:bCs/>
                <w:color w:val="FA7D00"/>
              </w:rPr>
              <w:t>hj.tj.</w:t>
            </w:r>
          </w:p>
        </w:tc>
        <w:tc>
          <w:tcPr>
            <w:tcW w:w="1164" w:type="dxa"/>
            <w:tcBorders>
              <w:top w:val="nil"/>
              <w:left w:val="nil"/>
              <w:bottom w:val="single" w:sz="4" w:space="0" w:color="7F7F7F"/>
              <w:right w:val="single" w:sz="4" w:space="0" w:color="7F7F7F"/>
            </w:tcBorders>
            <w:shd w:val="clear" w:color="000000" w:fill="F2F2F2"/>
            <w:noWrap/>
            <w:vAlign w:val="bottom"/>
            <w:hideMark/>
          </w:tcPr>
          <w:p w:rsidR="00D62A57" w:rsidRPr="00160600" w:rsidRDefault="00D62A57" w:rsidP="00D62A57">
            <w:pPr>
              <w:rPr>
                <w:rFonts w:ascii="Calibri" w:hAnsi="Calibri"/>
                <w:b/>
                <w:bCs/>
                <w:color w:val="FA7D00"/>
              </w:rPr>
            </w:pPr>
            <w:r w:rsidRPr="00160600">
              <w:rPr>
                <w:rFonts w:ascii="Calibri" w:hAnsi="Calibri"/>
                <w:b/>
                <w:bCs/>
                <w:color w:val="FA7D00"/>
              </w:rPr>
              <w:t> </w:t>
            </w:r>
            <w:r>
              <w:rPr>
                <w:rFonts w:ascii="Calibri" w:hAnsi="Calibri"/>
                <w:b/>
                <w:bCs/>
                <w:color w:val="FA7D00"/>
              </w:rPr>
              <w:t>200% hj.tj</w:t>
            </w:r>
          </w:p>
        </w:tc>
        <w:tc>
          <w:tcPr>
            <w:tcW w:w="1197" w:type="dxa"/>
            <w:tcBorders>
              <w:top w:val="nil"/>
              <w:left w:val="nil"/>
              <w:bottom w:val="single" w:sz="4" w:space="0" w:color="7F7F7F"/>
              <w:right w:val="single" w:sz="4" w:space="0" w:color="7F7F7F"/>
            </w:tcBorders>
            <w:shd w:val="clear" w:color="000000" w:fill="F2F2F2"/>
            <w:noWrap/>
            <w:vAlign w:val="bottom"/>
            <w:hideMark/>
          </w:tcPr>
          <w:p w:rsidR="00D62A57" w:rsidRPr="00160600" w:rsidRDefault="00D62A57" w:rsidP="00D62A57">
            <w:pPr>
              <w:rPr>
                <w:rFonts w:ascii="Calibri" w:hAnsi="Calibri"/>
                <w:b/>
                <w:bCs/>
                <w:color w:val="FA7D00"/>
              </w:rPr>
            </w:pPr>
            <w:r>
              <w:rPr>
                <w:rFonts w:ascii="Calibri" w:hAnsi="Calibri"/>
                <w:b/>
                <w:bCs/>
                <w:color w:val="FA7D00"/>
              </w:rPr>
              <w:t>200%</w:t>
            </w:r>
            <w:r w:rsidRPr="00160600">
              <w:rPr>
                <w:rFonts w:ascii="Calibri" w:hAnsi="Calibri"/>
                <w:b/>
                <w:bCs/>
                <w:color w:val="FA7D00"/>
              </w:rPr>
              <w:t> </w:t>
            </w:r>
            <w:r>
              <w:rPr>
                <w:rFonts w:ascii="Calibri" w:hAnsi="Calibri"/>
                <w:b/>
                <w:bCs/>
                <w:color w:val="FA7D00"/>
              </w:rPr>
              <w:t>hj.tj.</w:t>
            </w:r>
          </w:p>
        </w:tc>
      </w:tr>
      <w:tr w:rsidR="00D62A57" w:rsidRPr="006A4103" w:rsidTr="00AC206F">
        <w:trPr>
          <w:trHeight w:val="282"/>
        </w:trPr>
        <w:tc>
          <w:tcPr>
            <w:tcW w:w="1294" w:type="dxa"/>
            <w:tcBorders>
              <w:top w:val="nil"/>
              <w:left w:val="nil"/>
              <w:bottom w:val="nil"/>
              <w:right w:val="nil"/>
            </w:tcBorders>
            <w:shd w:val="clear" w:color="auto" w:fill="auto"/>
            <w:noWrap/>
            <w:vAlign w:val="bottom"/>
          </w:tcPr>
          <w:p w:rsidR="00D62A57" w:rsidRDefault="00D62A57" w:rsidP="00D62A57">
            <w:pPr>
              <w:rPr>
                <w:rFonts w:ascii="Calibri" w:hAnsi="Calibri"/>
                <w:b/>
                <w:bCs/>
                <w:color w:val="FA7D00"/>
              </w:rPr>
            </w:pPr>
          </w:p>
          <w:p w:rsidR="00D62A57" w:rsidRPr="006A4103" w:rsidRDefault="00D62A57" w:rsidP="00D62A57">
            <w:pPr>
              <w:rPr>
                <w:rFonts w:ascii="Calibri" w:hAnsi="Calibri"/>
                <w:b/>
                <w:bCs/>
                <w:color w:val="FA7D00"/>
              </w:rPr>
            </w:pPr>
          </w:p>
        </w:tc>
        <w:tc>
          <w:tcPr>
            <w:tcW w:w="1294" w:type="dxa"/>
            <w:tcBorders>
              <w:top w:val="nil"/>
              <w:left w:val="nil"/>
              <w:bottom w:val="nil"/>
              <w:right w:val="nil"/>
            </w:tcBorders>
            <w:shd w:val="clear" w:color="auto" w:fill="auto"/>
            <w:noWrap/>
            <w:vAlign w:val="bottom"/>
          </w:tcPr>
          <w:p w:rsidR="00D62A57" w:rsidRPr="006A4103" w:rsidRDefault="00D62A57" w:rsidP="00D62A57">
            <w:pPr>
              <w:rPr>
                <w:sz w:val="20"/>
                <w:szCs w:val="20"/>
              </w:rPr>
            </w:pPr>
          </w:p>
        </w:tc>
        <w:tc>
          <w:tcPr>
            <w:tcW w:w="1294" w:type="dxa"/>
            <w:tcBorders>
              <w:top w:val="nil"/>
              <w:left w:val="nil"/>
              <w:bottom w:val="nil"/>
              <w:right w:val="nil"/>
            </w:tcBorders>
            <w:shd w:val="clear" w:color="auto" w:fill="auto"/>
            <w:noWrap/>
            <w:vAlign w:val="bottom"/>
          </w:tcPr>
          <w:p w:rsidR="00D62A57" w:rsidRPr="006A4103" w:rsidRDefault="00D62A57" w:rsidP="00D62A57">
            <w:pPr>
              <w:rPr>
                <w:sz w:val="20"/>
                <w:szCs w:val="20"/>
              </w:rPr>
            </w:pPr>
          </w:p>
        </w:tc>
        <w:tc>
          <w:tcPr>
            <w:tcW w:w="1294" w:type="dxa"/>
            <w:tcBorders>
              <w:top w:val="nil"/>
              <w:left w:val="nil"/>
              <w:bottom w:val="nil"/>
              <w:right w:val="nil"/>
            </w:tcBorders>
            <w:shd w:val="clear" w:color="auto" w:fill="auto"/>
            <w:noWrap/>
            <w:vAlign w:val="bottom"/>
          </w:tcPr>
          <w:p w:rsidR="00D62A57" w:rsidRPr="006A4103" w:rsidRDefault="00D62A57" w:rsidP="00D62A57">
            <w:pPr>
              <w:rPr>
                <w:sz w:val="20"/>
                <w:szCs w:val="20"/>
              </w:rPr>
            </w:pPr>
          </w:p>
        </w:tc>
        <w:tc>
          <w:tcPr>
            <w:tcW w:w="1164" w:type="dxa"/>
            <w:tcBorders>
              <w:top w:val="nil"/>
              <w:left w:val="nil"/>
              <w:bottom w:val="nil"/>
              <w:right w:val="nil"/>
            </w:tcBorders>
            <w:shd w:val="clear" w:color="auto" w:fill="auto"/>
            <w:noWrap/>
            <w:vAlign w:val="bottom"/>
          </w:tcPr>
          <w:p w:rsidR="00D62A57" w:rsidRPr="006A4103" w:rsidRDefault="00D62A57" w:rsidP="00D62A57">
            <w:pPr>
              <w:rPr>
                <w:sz w:val="20"/>
                <w:szCs w:val="20"/>
              </w:rPr>
            </w:pPr>
          </w:p>
        </w:tc>
        <w:tc>
          <w:tcPr>
            <w:tcW w:w="1197" w:type="dxa"/>
            <w:tcBorders>
              <w:top w:val="nil"/>
              <w:left w:val="nil"/>
              <w:bottom w:val="nil"/>
              <w:right w:val="nil"/>
            </w:tcBorders>
            <w:shd w:val="clear" w:color="auto" w:fill="auto"/>
            <w:noWrap/>
            <w:vAlign w:val="bottom"/>
          </w:tcPr>
          <w:p w:rsidR="00D62A57" w:rsidRPr="006A4103" w:rsidRDefault="00D62A57" w:rsidP="00D62A57">
            <w:pPr>
              <w:rPr>
                <w:sz w:val="20"/>
                <w:szCs w:val="20"/>
              </w:rPr>
            </w:pPr>
          </w:p>
        </w:tc>
        <w:tc>
          <w:tcPr>
            <w:tcW w:w="1164" w:type="dxa"/>
            <w:tcBorders>
              <w:top w:val="nil"/>
              <w:left w:val="nil"/>
              <w:bottom w:val="nil"/>
              <w:right w:val="nil"/>
            </w:tcBorders>
            <w:shd w:val="clear" w:color="auto" w:fill="auto"/>
            <w:noWrap/>
            <w:vAlign w:val="bottom"/>
          </w:tcPr>
          <w:p w:rsidR="00D62A57" w:rsidRPr="006A4103" w:rsidRDefault="00D62A57" w:rsidP="00D62A57">
            <w:pPr>
              <w:rPr>
                <w:sz w:val="20"/>
                <w:szCs w:val="20"/>
              </w:rPr>
            </w:pPr>
          </w:p>
        </w:tc>
        <w:tc>
          <w:tcPr>
            <w:tcW w:w="1197" w:type="dxa"/>
            <w:tcBorders>
              <w:top w:val="nil"/>
              <w:left w:val="nil"/>
              <w:bottom w:val="nil"/>
              <w:right w:val="nil"/>
            </w:tcBorders>
            <w:shd w:val="clear" w:color="auto" w:fill="auto"/>
            <w:noWrap/>
            <w:vAlign w:val="bottom"/>
          </w:tcPr>
          <w:p w:rsidR="00D62A57" w:rsidRPr="006A4103" w:rsidRDefault="00D62A57" w:rsidP="00D62A57">
            <w:pPr>
              <w:rPr>
                <w:sz w:val="20"/>
                <w:szCs w:val="20"/>
              </w:rPr>
            </w:pPr>
          </w:p>
        </w:tc>
      </w:tr>
      <w:tr w:rsidR="00D62A57" w:rsidRPr="006A4103" w:rsidTr="00AC206F">
        <w:trPr>
          <w:trHeight w:val="282"/>
        </w:trPr>
        <w:tc>
          <w:tcPr>
            <w:tcW w:w="1294" w:type="dxa"/>
            <w:tcBorders>
              <w:top w:val="nil"/>
              <w:left w:val="nil"/>
              <w:bottom w:val="nil"/>
              <w:right w:val="nil"/>
            </w:tcBorders>
            <w:shd w:val="clear" w:color="auto" w:fill="auto"/>
            <w:noWrap/>
            <w:vAlign w:val="bottom"/>
            <w:hideMark/>
          </w:tcPr>
          <w:p w:rsidR="00D62A57" w:rsidRPr="006A4103" w:rsidRDefault="00D62A57" w:rsidP="00D62A57">
            <w:pPr>
              <w:rPr>
                <w:rFonts w:ascii="Calibri" w:hAnsi="Calibri"/>
                <w:b/>
                <w:bCs/>
                <w:color w:val="000000"/>
              </w:rPr>
            </w:pPr>
            <w:r w:rsidRPr="006A4103">
              <w:rPr>
                <w:rFonts w:ascii="Calibri" w:hAnsi="Calibri"/>
                <w:b/>
                <w:bCs/>
                <w:color w:val="000000"/>
              </w:rPr>
              <w:t>Teknisk</w:t>
            </w:r>
            <w:r>
              <w:rPr>
                <w:rFonts w:ascii="Calibri" w:hAnsi="Calibri"/>
                <w:b/>
                <w:bCs/>
                <w:color w:val="000000"/>
              </w:rPr>
              <w:t xml:space="preserve"> </w:t>
            </w:r>
            <w:r w:rsidRPr="006A4103">
              <w:rPr>
                <w:rFonts w:ascii="Calibri" w:hAnsi="Calibri"/>
                <w:b/>
                <w:bCs/>
                <w:color w:val="000000"/>
              </w:rPr>
              <w:t>etat</w:t>
            </w:r>
          </w:p>
        </w:tc>
        <w:tc>
          <w:tcPr>
            <w:tcW w:w="1294" w:type="dxa"/>
            <w:tcBorders>
              <w:top w:val="nil"/>
              <w:left w:val="nil"/>
              <w:bottom w:val="nil"/>
              <w:right w:val="nil"/>
            </w:tcBorders>
            <w:shd w:val="clear" w:color="auto" w:fill="auto"/>
            <w:noWrap/>
            <w:vAlign w:val="bottom"/>
            <w:hideMark/>
          </w:tcPr>
          <w:p w:rsidR="00D62A57" w:rsidRPr="006A4103" w:rsidRDefault="00D62A57" w:rsidP="00D62A57">
            <w:pPr>
              <w:rPr>
                <w:rFonts w:ascii="Calibri" w:hAnsi="Calibri"/>
                <w:b/>
                <w:bCs/>
                <w:color w:val="000000"/>
              </w:rPr>
            </w:pPr>
          </w:p>
        </w:tc>
        <w:tc>
          <w:tcPr>
            <w:tcW w:w="1294" w:type="dxa"/>
            <w:tcBorders>
              <w:top w:val="nil"/>
              <w:left w:val="nil"/>
              <w:bottom w:val="nil"/>
              <w:right w:val="nil"/>
            </w:tcBorders>
            <w:shd w:val="clear" w:color="auto" w:fill="auto"/>
            <w:noWrap/>
            <w:vAlign w:val="bottom"/>
            <w:hideMark/>
          </w:tcPr>
          <w:p w:rsidR="00D62A57" w:rsidRPr="006A4103" w:rsidRDefault="00D62A57" w:rsidP="00D62A57">
            <w:pPr>
              <w:rPr>
                <w:sz w:val="20"/>
                <w:szCs w:val="20"/>
              </w:rPr>
            </w:pPr>
          </w:p>
        </w:tc>
        <w:tc>
          <w:tcPr>
            <w:tcW w:w="1294" w:type="dxa"/>
            <w:tcBorders>
              <w:top w:val="nil"/>
              <w:left w:val="nil"/>
              <w:bottom w:val="nil"/>
              <w:right w:val="nil"/>
            </w:tcBorders>
            <w:shd w:val="clear" w:color="auto" w:fill="auto"/>
            <w:noWrap/>
            <w:vAlign w:val="bottom"/>
            <w:hideMark/>
          </w:tcPr>
          <w:p w:rsidR="00D62A57" w:rsidRPr="006A4103" w:rsidRDefault="00D62A57" w:rsidP="00D62A57">
            <w:pPr>
              <w:rPr>
                <w:sz w:val="20"/>
                <w:szCs w:val="20"/>
              </w:rPr>
            </w:pPr>
          </w:p>
        </w:tc>
        <w:tc>
          <w:tcPr>
            <w:tcW w:w="1164" w:type="dxa"/>
            <w:tcBorders>
              <w:top w:val="nil"/>
              <w:left w:val="nil"/>
              <w:bottom w:val="nil"/>
              <w:right w:val="nil"/>
            </w:tcBorders>
            <w:shd w:val="clear" w:color="auto" w:fill="auto"/>
            <w:noWrap/>
            <w:vAlign w:val="bottom"/>
            <w:hideMark/>
          </w:tcPr>
          <w:p w:rsidR="00D62A57" w:rsidRPr="006A4103" w:rsidRDefault="00D62A57" w:rsidP="00D62A57">
            <w:pPr>
              <w:rPr>
                <w:sz w:val="20"/>
                <w:szCs w:val="20"/>
              </w:rPr>
            </w:pPr>
          </w:p>
        </w:tc>
        <w:tc>
          <w:tcPr>
            <w:tcW w:w="1197" w:type="dxa"/>
            <w:tcBorders>
              <w:top w:val="nil"/>
              <w:left w:val="nil"/>
              <w:bottom w:val="nil"/>
              <w:right w:val="nil"/>
            </w:tcBorders>
            <w:shd w:val="clear" w:color="auto" w:fill="auto"/>
            <w:noWrap/>
            <w:vAlign w:val="bottom"/>
            <w:hideMark/>
          </w:tcPr>
          <w:p w:rsidR="00D62A57" w:rsidRPr="006A4103" w:rsidRDefault="00D62A57" w:rsidP="00D62A57">
            <w:pPr>
              <w:rPr>
                <w:sz w:val="20"/>
                <w:szCs w:val="20"/>
              </w:rPr>
            </w:pPr>
          </w:p>
        </w:tc>
        <w:tc>
          <w:tcPr>
            <w:tcW w:w="1164" w:type="dxa"/>
            <w:tcBorders>
              <w:top w:val="nil"/>
              <w:left w:val="nil"/>
              <w:bottom w:val="nil"/>
              <w:right w:val="nil"/>
            </w:tcBorders>
            <w:shd w:val="clear" w:color="auto" w:fill="auto"/>
            <w:noWrap/>
            <w:vAlign w:val="bottom"/>
            <w:hideMark/>
          </w:tcPr>
          <w:p w:rsidR="00D62A57" w:rsidRPr="006A4103" w:rsidRDefault="00D62A57" w:rsidP="00D62A57">
            <w:pPr>
              <w:rPr>
                <w:sz w:val="20"/>
                <w:szCs w:val="20"/>
              </w:rPr>
            </w:pPr>
          </w:p>
        </w:tc>
        <w:tc>
          <w:tcPr>
            <w:tcW w:w="1197" w:type="dxa"/>
            <w:tcBorders>
              <w:top w:val="nil"/>
              <w:left w:val="nil"/>
              <w:bottom w:val="nil"/>
              <w:right w:val="nil"/>
            </w:tcBorders>
            <w:shd w:val="clear" w:color="auto" w:fill="auto"/>
            <w:noWrap/>
            <w:vAlign w:val="bottom"/>
            <w:hideMark/>
          </w:tcPr>
          <w:p w:rsidR="00D62A57" w:rsidRPr="006A4103" w:rsidRDefault="00D62A57" w:rsidP="00D62A57">
            <w:pPr>
              <w:rPr>
                <w:sz w:val="20"/>
                <w:szCs w:val="20"/>
              </w:rPr>
            </w:pPr>
          </w:p>
        </w:tc>
      </w:tr>
      <w:tr w:rsidR="00D62A57" w:rsidRPr="006A4103" w:rsidTr="00AC206F">
        <w:trPr>
          <w:trHeight w:val="282"/>
        </w:trPr>
        <w:tc>
          <w:tcPr>
            <w:tcW w:w="2588" w:type="dxa"/>
            <w:gridSpan w:val="2"/>
            <w:tcBorders>
              <w:top w:val="nil"/>
              <w:left w:val="nil"/>
              <w:bottom w:val="nil"/>
              <w:right w:val="nil"/>
            </w:tcBorders>
            <w:shd w:val="clear" w:color="auto" w:fill="auto"/>
            <w:noWrap/>
            <w:vAlign w:val="bottom"/>
            <w:hideMark/>
          </w:tcPr>
          <w:p w:rsidR="00D62A57" w:rsidRPr="006A4103" w:rsidRDefault="00D62A57" w:rsidP="00D62A57">
            <w:pPr>
              <w:rPr>
                <w:rFonts w:ascii="Calibri" w:hAnsi="Calibri"/>
                <w:color w:val="000000"/>
              </w:rPr>
            </w:pPr>
            <w:r w:rsidRPr="006A4103">
              <w:rPr>
                <w:rFonts w:ascii="Calibri" w:hAnsi="Calibri"/>
                <w:color w:val="000000"/>
              </w:rPr>
              <w:t>Ingen endringer</w:t>
            </w:r>
          </w:p>
        </w:tc>
        <w:tc>
          <w:tcPr>
            <w:tcW w:w="1294" w:type="dxa"/>
            <w:tcBorders>
              <w:top w:val="nil"/>
              <w:left w:val="nil"/>
              <w:bottom w:val="nil"/>
              <w:right w:val="nil"/>
            </w:tcBorders>
            <w:shd w:val="clear" w:color="auto" w:fill="auto"/>
            <w:noWrap/>
            <w:vAlign w:val="bottom"/>
            <w:hideMark/>
          </w:tcPr>
          <w:p w:rsidR="00D62A57" w:rsidRPr="006A4103" w:rsidRDefault="00D62A57" w:rsidP="00D62A57">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2A57" w:rsidRPr="006A4103" w:rsidRDefault="00D62A57" w:rsidP="00D62A57">
            <w:pPr>
              <w:rPr>
                <w:sz w:val="20"/>
                <w:szCs w:val="20"/>
              </w:rPr>
            </w:pPr>
          </w:p>
        </w:tc>
        <w:tc>
          <w:tcPr>
            <w:tcW w:w="1164" w:type="dxa"/>
            <w:tcBorders>
              <w:top w:val="nil"/>
              <w:left w:val="nil"/>
              <w:bottom w:val="nil"/>
              <w:right w:val="nil"/>
            </w:tcBorders>
            <w:shd w:val="clear" w:color="auto" w:fill="auto"/>
            <w:noWrap/>
            <w:vAlign w:val="bottom"/>
            <w:hideMark/>
          </w:tcPr>
          <w:p w:rsidR="00D62A57" w:rsidRPr="006A4103" w:rsidRDefault="00D62A57" w:rsidP="00D62A57">
            <w:pPr>
              <w:rPr>
                <w:sz w:val="20"/>
                <w:szCs w:val="20"/>
              </w:rPr>
            </w:pPr>
          </w:p>
        </w:tc>
        <w:tc>
          <w:tcPr>
            <w:tcW w:w="1197" w:type="dxa"/>
            <w:tcBorders>
              <w:top w:val="nil"/>
              <w:left w:val="nil"/>
              <w:bottom w:val="nil"/>
              <w:right w:val="nil"/>
            </w:tcBorders>
            <w:shd w:val="clear" w:color="auto" w:fill="auto"/>
            <w:noWrap/>
            <w:vAlign w:val="bottom"/>
            <w:hideMark/>
          </w:tcPr>
          <w:p w:rsidR="00D62A57" w:rsidRPr="006A4103" w:rsidRDefault="00D62A57" w:rsidP="00D62A57">
            <w:pPr>
              <w:rPr>
                <w:sz w:val="20"/>
                <w:szCs w:val="20"/>
              </w:rPr>
            </w:pPr>
          </w:p>
        </w:tc>
        <w:tc>
          <w:tcPr>
            <w:tcW w:w="1164" w:type="dxa"/>
            <w:tcBorders>
              <w:top w:val="nil"/>
              <w:left w:val="nil"/>
              <w:bottom w:val="nil"/>
              <w:right w:val="nil"/>
            </w:tcBorders>
            <w:shd w:val="clear" w:color="auto" w:fill="auto"/>
            <w:noWrap/>
            <w:vAlign w:val="bottom"/>
            <w:hideMark/>
          </w:tcPr>
          <w:p w:rsidR="00D62A57" w:rsidRPr="006A4103" w:rsidRDefault="00D62A57" w:rsidP="00D62A57">
            <w:pPr>
              <w:rPr>
                <w:sz w:val="20"/>
                <w:szCs w:val="20"/>
              </w:rPr>
            </w:pPr>
          </w:p>
        </w:tc>
        <w:tc>
          <w:tcPr>
            <w:tcW w:w="1197" w:type="dxa"/>
            <w:tcBorders>
              <w:top w:val="nil"/>
              <w:left w:val="nil"/>
              <w:bottom w:val="nil"/>
              <w:right w:val="nil"/>
            </w:tcBorders>
            <w:shd w:val="clear" w:color="auto" w:fill="auto"/>
            <w:noWrap/>
            <w:vAlign w:val="bottom"/>
            <w:hideMark/>
          </w:tcPr>
          <w:p w:rsidR="00D62A57" w:rsidRPr="006A4103" w:rsidRDefault="00D62A57" w:rsidP="00D62A57">
            <w:pPr>
              <w:rPr>
                <w:sz w:val="20"/>
                <w:szCs w:val="20"/>
              </w:rPr>
            </w:pPr>
          </w:p>
        </w:tc>
      </w:tr>
    </w:tbl>
    <w:p w:rsidR="00D62A57" w:rsidRDefault="00D62A57" w:rsidP="00D62A57"/>
    <w:p w:rsidR="00D62A57" w:rsidRDefault="00D62A57" w:rsidP="00D62A57">
      <w:pPr>
        <w:rPr>
          <w:b/>
        </w:rPr>
      </w:pPr>
      <w:r w:rsidRPr="00DC5E4A">
        <w:rPr>
          <w:b/>
        </w:rPr>
        <w:t>Oppsummering:</w:t>
      </w:r>
    </w:p>
    <w:p w:rsidR="00AC206F" w:rsidRDefault="00AC206F" w:rsidP="00D62A57">
      <w:pPr>
        <w:rPr>
          <w:b/>
        </w:rPr>
      </w:pPr>
    </w:p>
    <w:p w:rsidR="00D62A57" w:rsidRDefault="00D62A57" w:rsidP="00D62A57">
      <w:pPr>
        <w:rPr>
          <w:b/>
        </w:rPr>
      </w:pPr>
      <w:proofErr w:type="spellStart"/>
      <w:proofErr w:type="gramStart"/>
      <w:r>
        <w:rPr>
          <w:b/>
        </w:rPr>
        <w:t>Sentraladm</w:t>
      </w:r>
      <w:proofErr w:type="spellEnd"/>
      <w:r>
        <w:rPr>
          <w:b/>
        </w:rPr>
        <w:t>,:</w:t>
      </w:r>
      <w:proofErr w:type="gramEnd"/>
    </w:p>
    <w:p w:rsidR="00D62A57" w:rsidRDefault="00D62A57" w:rsidP="00D62A57">
      <w:r w:rsidRPr="00ED4018">
        <w:t>Økning 20% i flyktningetjenesten i 2018 som reduseres tilsvarende i 2019 og ytterligere med 20% fra 2020.</w:t>
      </w:r>
    </w:p>
    <w:p w:rsidR="00AC206F" w:rsidRPr="00ED4018" w:rsidRDefault="00AC206F" w:rsidP="00D62A57"/>
    <w:p w:rsidR="00D62A57" w:rsidRDefault="00D62A57" w:rsidP="00D62A57">
      <w:pPr>
        <w:rPr>
          <w:b/>
        </w:rPr>
      </w:pPr>
      <w:r>
        <w:rPr>
          <w:b/>
        </w:rPr>
        <w:t>Kultur- og undervisning:</w:t>
      </w:r>
    </w:p>
    <w:tbl>
      <w:tblPr>
        <w:tblW w:w="9620" w:type="dxa"/>
        <w:tblCellMar>
          <w:left w:w="70" w:type="dxa"/>
          <w:right w:w="70" w:type="dxa"/>
        </w:tblCellMar>
        <w:tblLook w:val="04A0" w:firstRow="1" w:lastRow="0" w:firstColumn="1" w:lastColumn="0" w:noHBand="0" w:noVBand="1"/>
      </w:tblPr>
      <w:tblGrid>
        <w:gridCol w:w="1340"/>
        <w:gridCol w:w="1300"/>
        <w:gridCol w:w="1240"/>
        <w:gridCol w:w="1200"/>
        <w:gridCol w:w="1100"/>
        <w:gridCol w:w="1160"/>
        <w:gridCol w:w="1140"/>
        <w:gridCol w:w="1140"/>
      </w:tblGrid>
      <w:tr w:rsidR="00D62A57" w:rsidRPr="00ED4018" w:rsidTr="00D62A57">
        <w:trPr>
          <w:trHeight w:val="300"/>
        </w:trPr>
        <w:tc>
          <w:tcPr>
            <w:tcW w:w="1340" w:type="dxa"/>
            <w:tcBorders>
              <w:top w:val="nil"/>
              <w:left w:val="nil"/>
              <w:bottom w:val="nil"/>
              <w:right w:val="nil"/>
            </w:tcBorders>
            <w:shd w:val="clear" w:color="auto" w:fill="auto"/>
            <w:noWrap/>
            <w:vAlign w:val="bottom"/>
          </w:tcPr>
          <w:p w:rsidR="00D62A57" w:rsidRPr="00ED4018" w:rsidRDefault="00D62A57" w:rsidP="00D62A57"/>
        </w:tc>
        <w:tc>
          <w:tcPr>
            <w:tcW w:w="1300" w:type="dxa"/>
            <w:tcBorders>
              <w:top w:val="nil"/>
              <w:left w:val="nil"/>
              <w:bottom w:val="nil"/>
              <w:right w:val="nil"/>
            </w:tcBorders>
            <w:shd w:val="clear" w:color="auto" w:fill="auto"/>
            <w:noWrap/>
            <w:vAlign w:val="bottom"/>
          </w:tcPr>
          <w:p w:rsidR="00D62A57" w:rsidRPr="00ED4018" w:rsidRDefault="00D62A57" w:rsidP="00D62A57">
            <w:pPr>
              <w:rPr>
                <w:sz w:val="20"/>
                <w:szCs w:val="20"/>
              </w:rPr>
            </w:pPr>
          </w:p>
        </w:tc>
        <w:tc>
          <w:tcPr>
            <w:tcW w:w="1240" w:type="dxa"/>
            <w:tcBorders>
              <w:top w:val="nil"/>
              <w:left w:val="nil"/>
              <w:bottom w:val="nil"/>
              <w:right w:val="nil"/>
            </w:tcBorders>
            <w:shd w:val="clear" w:color="auto" w:fill="auto"/>
            <w:noWrap/>
            <w:vAlign w:val="bottom"/>
          </w:tcPr>
          <w:p w:rsidR="00D62A57" w:rsidRPr="00ED4018" w:rsidRDefault="00D62A57" w:rsidP="00D62A57">
            <w:pPr>
              <w:rPr>
                <w:sz w:val="20"/>
                <w:szCs w:val="20"/>
              </w:rPr>
            </w:pPr>
          </w:p>
        </w:tc>
        <w:tc>
          <w:tcPr>
            <w:tcW w:w="1200" w:type="dxa"/>
            <w:tcBorders>
              <w:top w:val="nil"/>
              <w:left w:val="nil"/>
              <w:bottom w:val="nil"/>
              <w:right w:val="nil"/>
            </w:tcBorders>
            <w:shd w:val="clear" w:color="auto" w:fill="auto"/>
            <w:noWrap/>
            <w:vAlign w:val="bottom"/>
          </w:tcPr>
          <w:p w:rsidR="00D62A57" w:rsidRPr="00ED4018" w:rsidRDefault="00D62A57" w:rsidP="00D62A57">
            <w:pPr>
              <w:rPr>
                <w:sz w:val="20"/>
                <w:szCs w:val="20"/>
              </w:rPr>
            </w:pPr>
          </w:p>
        </w:tc>
        <w:tc>
          <w:tcPr>
            <w:tcW w:w="1100" w:type="dxa"/>
            <w:tcBorders>
              <w:top w:val="nil"/>
              <w:left w:val="nil"/>
              <w:bottom w:val="nil"/>
              <w:right w:val="nil"/>
            </w:tcBorders>
            <w:shd w:val="clear" w:color="auto" w:fill="auto"/>
            <w:noWrap/>
            <w:vAlign w:val="bottom"/>
          </w:tcPr>
          <w:p w:rsidR="00D62A57" w:rsidRPr="00ED4018" w:rsidRDefault="00D62A57" w:rsidP="00D62A57">
            <w:pPr>
              <w:rPr>
                <w:sz w:val="20"/>
                <w:szCs w:val="20"/>
              </w:rPr>
            </w:pPr>
          </w:p>
        </w:tc>
        <w:tc>
          <w:tcPr>
            <w:tcW w:w="1160" w:type="dxa"/>
            <w:tcBorders>
              <w:top w:val="nil"/>
              <w:left w:val="nil"/>
              <w:bottom w:val="nil"/>
              <w:right w:val="nil"/>
            </w:tcBorders>
            <w:shd w:val="clear" w:color="auto" w:fill="auto"/>
            <w:noWrap/>
            <w:vAlign w:val="bottom"/>
          </w:tcPr>
          <w:p w:rsidR="00D62A57" w:rsidRPr="00ED4018" w:rsidRDefault="00D62A57" w:rsidP="00D62A57">
            <w:pPr>
              <w:rPr>
                <w:sz w:val="20"/>
                <w:szCs w:val="20"/>
              </w:rPr>
            </w:pPr>
          </w:p>
        </w:tc>
        <w:tc>
          <w:tcPr>
            <w:tcW w:w="1140" w:type="dxa"/>
            <w:tcBorders>
              <w:top w:val="nil"/>
              <w:left w:val="nil"/>
              <w:bottom w:val="nil"/>
              <w:right w:val="nil"/>
            </w:tcBorders>
            <w:shd w:val="clear" w:color="auto" w:fill="auto"/>
            <w:noWrap/>
            <w:vAlign w:val="bottom"/>
          </w:tcPr>
          <w:p w:rsidR="00D62A57" w:rsidRPr="00ED4018" w:rsidRDefault="00D62A57" w:rsidP="00D62A57">
            <w:pPr>
              <w:rPr>
                <w:sz w:val="20"/>
                <w:szCs w:val="20"/>
              </w:rPr>
            </w:pPr>
          </w:p>
        </w:tc>
        <w:tc>
          <w:tcPr>
            <w:tcW w:w="1140" w:type="dxa"/>
            <w:tcBorders>
              <w:top w:val="nil"/>
              <w:left w:val="nil"/>
              <w:bottom w:val="nil"/>
              <w:right w:val="nil"/>
            </w:tcBorders>
            <w:shd w:val="clear" w:color="auto" w:fill="auto"/>
            <w:noWrap/>
            <w:vAlign w:val="bottom"/>
          </w:tcPr>
          <w:p w:rsidR="00D62A57" w:rsidRPr="00ED4018" w:rsidRDefault="00D62A57" w:rsidP="00D62A57">
            <w:pPr>
              <w:rPr>
                <w:sz w:val="20"/>
                <w:szCs w:val="20"/>
              </w:rPr>
            </w:pPr>
          </w:p>
        </w:tc>
      </w:tr>
      <w:tr w:rsidR="00D62A57" w:rsidRPr="00ED4018" w:rsidTr="00D62A57">
        <w:trPr>
          <w:trHeight w:val="300"/>
        </w:trPr>
        <w:tc>
          <w:tcPr>
            <w:tcW w:w="5080" w:type="dxa"/>
            <w:gridSpan w:val="4"/>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D62A57" w:rsidRPr="00ED4018" w:rsidRDefault="00D62A57" w:rsidP="00D62A57">
            <w:pPr>
              <w:jc w:val="center"/>
              <w:rPr>
                <w:rFonts w:ascii="Calibri" w:hAnsi="Calibri"/>
                <w:color w:val="3F3F76"/>
              </w:rPr>
            </w:pPr>
            <w:r w:rsidRPr="00ED4018">
              <w:rPr>
                <w:rFonts w:ascii="Calibri" w:hAnsi="Calibri"/>
                <w:color w:val="3F3F76"/>
              </w:rPr>
              <w:t>Økning</w:t>
            </w:r>
          </w:p>
        </w:tc>
        <w:tc>
          <w:tcPr>
            <w:tcW w:w="4540" w:type="dxa"/>
            <w:gridSpan w:val="4"/>
            <w:tcBorders>
              <w:top w:val="single" w:sz="4" w:space="0" w:color="7F7F7F"/>
              <w:left w:val="nil"/>
              <w:bottom w:val="single" w:sz="4" w:space="0" w:color="7F7F7F"/>
              <w:right w:val="single" w:sz="4" w:space="0" w:color="7F7F7F"/>
            </w:tcBorders>
            <w:shd w:val="clear" w:color="000000" w:fill="F2F2F2"/>
            <w:noWrap/>
            <w:vAlign w:val="bottom"/>
            <w:hideMark/>
          </w:tcPr>
          <w:p w:rsidR="00D62A57" w:rsidRPr="00ED4018" w:rsidRDefault="00D62A57" w:rsidP="00D62A57">
            <w:pPr>
              <w:jc w:val="center"/>
              <w:rPr>
                <w:rFonts w:ascii="Calibri" w:hAnsi="Calibri"/>
                <w:b/>
                <w:bCs/>
                <w:color w:val="FA7D00"/>
              </w:rPr>
            </w:pPr>
            <w:r w:rsidRPr="00ED4018">
              <w:rPr>
                <w:rFonts w:ascii="Calibri" w:hAnsi="Calibri"/>
                <w:b/>
                <w:bCs/>
                <w:color w:val="FA7D00"/>
              </w:rPr>
              <w:t>Reduksjon</w:t>
            </w:r>
          </w:p>
        </w:tc>
      </w:tr>
      <w:tr w:rsidR="00D62A57" w:rsidRPr="00ED4018" w:rsidTr="00D62A57">
        <w:trPr>
          <w:trHeight w:val="300"/>
        </w:trPr>
        <w:tc>
          <w:tcPr>
            <w:tcW w:w="1340"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ED4018" w:rsidRDefault="00D62A57" w:rsidP="00D62A57">
            <w:pPr>
              <w:jc w:val="right"/>
              <w:rPr>
                <w:rFonts w:ascii="Calibri" w:hAnsi="Calibri"/>
                <w:color w:val="3F3F76"/>
              </w:rPr>
            </w:pPr>
            <w:r w:rsidRPr="00ED4018">
              <w:rPr>
                <w:rFonts w:ascii="Calibri" w:hAnsi="Calibri"/>
                <w:color w:val="3F3F76"/>
              </w:rPr>
              <w:t>2018</w:t>
            </w:r>
          </w:p>
        </w:tc>
        <w:tc>
          <w:tcPr>
            <w:tcW w:w="1300" w:type="dxa"/>
            <w:tcBorders>
              <w:top w:val="nil"/>
              <w:left w:val="nil"/>
              <w:bottom w:val="single" w:sz="4" w:space="0" w:color="7F7F7F"/>
              <w:right w:val="single" w:sz="4" w:space="0" w:color="7F7F7F"/>
            </w:tcBorders>
            <w:shd w:val="clear" w:color="000000" w:fill="FFCC99"/>
            <w:noWrap/>
            <w:vAlign w:val="bottom"/>
            <w:hideMark/>
          </w:tcPr>
          <w:p w:rsidR="00D62A57" w:rsidRPr="00ED4018" w:rsidRDefault="00D62A57" w:rsidP="00D62A57">
            <w:pPr>
              <w:jc w:val="right"/>
              <w:rPr>
                <w:rFonts w:ascii="Calibri" w:hAnsi="Calibri"/>
                <w:color w:val="3F3F76"/>
              </w:rPr>
            </w:pPr>
            <w:r w:rsidRPr="00ED4018">
              <w:rPr>
                <w:rFonts w:ascii="Calibri" w:hAnsi="Calibri"/>
                <w:color w:val="3F3F76"/>
              </w:rPr>
              <w:t>2019</w:t>
            </w:r>
          </w:p>
        </w:tc>
        <w:tc>
          <w:tcPr>
            <w:tcW w:w="1240" w:type="dxa"/>
            <w:tcBorders>
              <w:top w:val="nil"/>
              <w:left w:val="nil"/>
              <w:bottom w:val="single" w:sz="4" w:space="0" w:color="7F7F7F"/>
              <w:right w:val="single" w:sz="4" w:space="0" w:color="7F7F7F"/>
            </w:tcBorders>
            <w:shd w:val="clear" w:color="000000" w:fill="FFCC99"/>
            <w:noWrap/>
            <w:vAlign w:val="bottom"/>
            <w:hideMark/>
          </w:tcPr>
          <w:p w:rsidR="00D62A57" w:rsidRPr="00ED4018" w:rsidRDefault="00D62A57" w:rsidP="00D62A57">
            <w:pPr>
              <w:jc w:val="right"/>
              <w:rPr>
                <w:rFonts w:ascii="Calibri" w:hAnsi="Calibri"/>
                <w:color w:val="3F3F76"/>
              </w:rPr>
            </w:pPr>
            <w:r w:rsidRPr="00ED4018">
              <w:rPr>
                <w:rFonts w:ascii="Calibri" w:hAnsi="Calibri"/>
                <w:color w:val="3F3F76"/>
              </w:rPr>
              <w:t>2020</w:t>
            </w:r>
          </w:p>
        </w:tc>
        <w:tc>
          <w:tcPr>
            <w:tcW w:w="1200" w:type="dxa"/>
            <w:tcBorders>
              <w:top w:val="nil"/>
              <w:left w:val="nil"/>
              <w:bottom w:val="single" w:sz="4" w:space="0" w:color="7F7F7F"/>
              <w:right w:val="single" w:sz="4" w:space="0" w:color="7F7F7F"/>
            </w:tcBorders>
            <w:shd w:val="clear" w:color="000000" w:fill="FFCC99"/>
            <w:noWrap/>
            <w:vAlign w:val="bottom"/>
            <w:hideMark/>
          </w:tcPr>
          <w:p w:rsidR="00D62A57" w:rsidRPr="00ED4018" w:rsidRDefault="00D62A57" w:rsidP="00D62A57">
            <w:pPr>
              <w:jc w:val="right"/>
              <w:rPr>
                <w:rFonts w:ascii="Calibri" w:hAnsi="Calibri"/>
                <w:color w:val="3F3F76"/>
              </w:rPr>
            </w:pPr>
            <w:r w:rsidRPr="00ED4018">
              <w:rPr>
                <w:rFonts w:ascii="Calibri" w:hAnsi="Calibri"/>
                <w:color w:val="3F3F76"/>
              </w:rPr>
              <w:t>2021</w:t>
            </w:r>
          </w:p>
        </w:tc>
        <w:tc>
          <w:tcPr>
            <w:tcW w:w="1100" w:type="dxa"/>
            <w:tcBorders>
              <w:top w:val="nil"/>
              <w:left w:val="nil"/>
              <w:bottom w:val="single" w:sz="4" w:space="0" w:color="7F7F7F"/>
              <w:right w:val="single" w:sz="4" w:space="0" w:color="7F7F7F"/>
            </w:tcBorders>
            <w:shd w:val="clear" w:color="000000" w:fill="F2F2F2"/>
            <w:noWrap/>
            <w:vAlign w:val="bottom"/>
            <w:hideMark/>
          </w:tcPr>
          <w:p w:rsidR="00D62A57" w:rsidRPr="00ED4018" w:rsidRDefault="00D62A57" w:rsidP="00D62A57">
            <w:pPr>
              <w:jc w:val="right"/>
              <w:rPr>
                <w:rFonts w:ascii="Calibri" w:hAnsi="Calibri"/>
                <w:b/>
                <w:bCs/>
                <w:color w:val="FA7D00"/>
              </w:rPr>
            </w:pPr>
            <w:r w:rsidRPr="00ED4018">
              <w:rPr>
                <w:rFonts w:ascii="Calibri" w:hAnsi="Calibri"/>
                <w:b/>
                <w:bCs/>
                <w:color w:val="FA7D00"/>
              </w:rPr>
              <w:t>2018</w:t>
            </w:r>
          </w:p>
        </w:tc>
        <w:tc>
          <w:tcPr>
            <w:tcW w:w="1160" w:type="dxa"/>
            <w:tcBorders>
              <w:top w:val="nil"/>
              <w:left w:val="nil"/>
              <w:bottom w:val="single" w:sz="4" w:space="0" w:color="7F7F7F"/>
              <w:right w:val="single" w:sz="4" w:space="0" w:color="7F7F7F"/>
            </w:tcBorders>
            <w:shd w:val="clear" w:color="000000" w:fill="F2F2F2"/>
            <w:noWrap/>
            <w:vAlign w:val="bottom"/>
            <w:hideMark/>
          </w:tcPr>
          <w:p w:rsidR="00D62A57" w:rsidRPr="00ED4018" w:rsidRDefault="00D62A57" w:rsidP="00D62A57">
            <w:pPr>
              <w:jc w:val="right"/>
              <w:rPr>
                <w:rFonts w:ascii="Calibri" w:hAnsi="Calibri"/>
                <w:b/>
                <w:bCs/>
                <w:color w:val="FA7D00"/>
              </w:rPr>
            </w:pPr>
            <w:r w:rsidRPr="00ED4018">
              <w:rPr>
                <w:rFonts w:ascii="Calibri" w:hAnsi="Calibri"/>
                <w:b/>
                <w:bCs/>
                <w:color w:val="FA7D00"/>
              </w:rPr>
              <w:t>2019</w:t>
            </w:r>
          </w:p>
        </w:tc>
        <w:tc>
          <w:tcPr>
            <w:tcW w:w="1140" w:type="dxa"/>
            <w:tcBorders>
              <w:top w:val="nil"/>
              <w:left w:val="nil"/>
              <w:bottom w:val="single" w:sz="4" w:space="0" w:color="7F7F7F"/>
              <w:right w:val="single" w:sz="4" w:space="0" w:color="7F7F7F"/>
            </w:tcBorders>
            <w:shd w:val="clear" w:color="000000" w:fill="F2F2F2"/>
            <w:noWrap/>
            <w:vAlign w:val="bottom"/>
            <w:hideMark/>
          </w:tcPr>
          <w:p w:rsidR="00D62A57" w:rsidRPr="00ED4018" w:rsidRDefault="00D62A57" w:rsidP="00D62A57">
            <w:pPr>
              <w:jc w:val="right"/>
              <w:rPr>
                <w:rFonts w:ascii="Calibri" w:hAnsi="Calibri"/>
                <w:b/>
                <w:bCs/>
                <w:color w:val="FA7D00"/>
              </w:rPr>
            </w:pPr>
            <w:r w:rsidRPr="00ED4018">
              <w:rPr>
                <w:rFonts w:ascii="Calibri" w:hAnsi="Calibri"/>
                <w:b/>
                <w:bCs/>
                <w:color w:val="FA7D00"/>
              </w:rPr>
              <w:t>2020</w:t>
            </w:r>
          </w:p>
        </w:tc>
        <w:tc>
          <w:tcPr>
            <w:tcW w:w="1140" w:type="dxa"/>
            <w:tcBorders>
              <w:top w:val="nil"/>
              <w:left w:val="nil"/>
              <w:bottom w:val="single" w:sz="4" w:space="0" w:color="7F7F7F"/>
              <w:right w:val="single" w:sz="4" w:space="0" w:color="7F7F7F"/>
            </w:tcBorders>
            <w:shd w:val="clear" w:color="000000" w:fill="F2F2F2"/>
            <w:noWrap/>
            <w:vAlign w:val="bottom"/>
            <w:hideMark/>
          </w:tcPr>
          <w:p w:rsidR="00D62A57" w:rsidRPr="00ED4018" w:rsidRDefault="00D62A57" w:rsidP="00D62A57">
            <w:pPr>
              <w:jc w:val="right"/>
              <w:rPr>
                <w:rFonts w:ascii="Calibri" w:hAnsi="Calibri"/>
                <w:b/>
                <w:bCs/>
                <w:color w:val="FA7D00"/>
              </w:rPr>
            </w:pPr>
            <w:r w:rsidRPr="00ED4018">
              <w:rPr>
                <w:rFonts w:ascii="Calibri" w:hAnsi="Calibri"/>
                <w:b/>
                <w:bCs/>
                <w:color w:val="FA7D00"/>
              </w:rPr>
              <w:t>2021</w:t>
            </w:r>
          </w:p>
        </w:tc>
      </w:tr>
      <w:tr w:rsidR="00D62A57" w:rsidRPr="00ED4018" w:rsidTr="00D62A57">
        <w:trPr>
          <w:trHeight w:val="300"/>
        </w:trPr>
        <w:tc>
          <w:tcPr>
            <w:tcW w:w="1340"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ED4018" w:rsidRDefault="00D62A57" w:rsidP="00D62A57">
            <w:pPr>
              <w:jc w:val="center"/>
              <w:rPr>
                <w:rFonts w:ascii="Calibri" w:hAnsi="Calibri"/>
                <w:color w:val="3F3F76"/>
              </w:rPr>
            </w:pPr>
            <w:r w:rsidRPr="00ED4018">
              <w:rPr>
                <w:rFonts w:ascii="Calibri" w:hAnsi="Calibri"/>
                <w:color w:val="3F3F76"/>
              </w:rPr>
              <w:lastRenderedPageBreak/>
              <w:t>326,60 %</w:t>
            </w:r>
          </w:p>
        </w:tc>
        <w:tc>
          <w:tcPr>
            <w:tcW w:w="1300" w:type="dxa"/>
            <w:tcBorders>
              <w:top w:val="nil"/>
              <w:left w:val="nil"/>
              <w:bottom w:val="single" w:sz="4" w:space="0" w:color="7F7F7F"/>
              <w:right w:val="single" w:sz="4" w:space="0" w:color="7F7F7F"/>
            </w:tcBorders>
            <w:shd w:val="clear" w:color="000000" w:fill="FFCC99"/>
            <w:vAlign w:val="bottom"/>
            <w:hideMark/>
          </w:tcPr>
          <w:p w:rsidR="00D62A57" w:rsidRPr="00ED4018" w:rsidRDefault="00D62A57" w:rsidP="00D62A57">
            <w:pPr>
              <w:jc w:val="center"/>
              <w:rPr>
                <w:rFonts w:ascii="Calibri" w:hAnsi="Calibri"/>
                <w:color w:val="3F3F76"/>
              </w:rPr>
            </w:pPr>
            <w:r w:rsidRPr="00ED4018">
              <w:rPr>
                <w:rFonts w:ascii="Calibri" w:hAnsi="Calibri"/>
                <w:color w:val="3F3F76"/>
              </w:rPr>
              <w:t>261,60 %</w:t>
            </w:r>
          </w:p>
        </w:tc>
        <w:tc>
          <w:tcPr>
            <w:tcW w:w="1240" w:type="dxa"/>
            <w:tcBorders>
              <w:top w:val="nil"/>
              <w:left w:val="nil"/>
              <w:bottom w:val="single" w:sz="4" w:space="0" w:color="7F7F7F"/>
              <w:right w:val="single" w:sz="4" w:space="0" w:color="7F7F7F"/>
            </w:tcBorders>
            <w:shd w:val="clear" w:color="000000" w:fill="FFCC99"/>
            <w:vAlign w:val="bottom"/>
            <w:hideMark/>
          </w:tcPr>
          <w:p w:rsidR="00D62A57" w:rsidRPr="00ED4018" w:rsidRDefault="00D62A57" w:rsidP="00D62A57">
            <w:pPr>
              <w:jc w:val="center"/>
              <w:rPr>
                <w:rFonts w:ascii="Calibri" w:hAnsi="Calibri"/>
                <w:color w:val="3F3F76"/>
              </w:rPr>
            </w:pPr>
            <w:r w:rsidRPr="00ED4018">
              <w:rPr>
                <w:rFonts w:ascii="Calibri" w:hAnsi="Calibri"/>
                <w:color w:val="3F3F76"/>
              </w:rPr>
              <w:t>195 %</w:t>
            </w:r>
          </w:p>
        </w:tc>
        <w:tc>
          <w:tcPr>
            <w:tcW w:w="1200" w:type="dxa"/>
            <w:tcBorders>
              <w:top w:val="nil"/>
              <w:left w:val="nil"/>
              <w:bottom w:val="single" w:sz="4" w:space="0" w:color="7F7F7F"/>
              <w:right w:val="single" w:sz="4" w:space="0" w:color="7F7F7F"/>
            </w:tcBorders>
            <w:shd w:val="clear" w:color="000000" w:fill="FFCC99"/>
            <w:vAlign w:val="bottom"/>
            <w:hideMark/>
          </w:tcPr>
          <w:p w:rsidR="00D62A57" w:rsidRPr="00ED4018" w:rsidRDefault="00D62A57" w:rsidP="00D62A57">
            <w:pPr>
              <w:jc w:val="right"/>
              <w:rPr>
                <w:rFonts w:ascii="Calibri" w:hAnsi="Calibri"/>
                <w:color w:val="3F3F76"/>
              </w:rPr>
            </w:pPr>
            <w:r w:rsidRPr="00ED4018">
              <w:rPr>
                <w:rFonts w:ascii="Calibri" w:hAnsi="Calibri"/>
                <w:color w:val="3F3F76"/>
              </w:rPr>
              <w:t>195 %</w:t>
            </w:r>
          </w:p>
        </w:tc>
        <w:tc>
          <w:tcPr>
            <w:tcW w:w="1100" w:type="dxa"/>
            <w:tcBorders>
              <w:top w:val="nil"/>
              <w:left w:val="nil"/>
              <w:bottom w:val="single" w:sz="4" w:space="0" w:color="7F7F7F"/>
              <w:right w:val="single" w:sz="4" w:space="0" w:color="7F7F7F"/>
            </w:tcBorders>
            <w:shd w:val="clear" w:color="000000" w:fill="F2F2F2"/>
            <w:vAlign w:val="bottom"/>
            <w:hideMark/>
          </w:tcPr>
          <w:p w:rsidR="00D62A57" w:rsidRPr="00ED4018" w:rsidRDefault="00D62A57" w:rsidP="00D62A57">
            <w:pPr>
              <w:jc w:val="right"/>
              <w:rPr>
                <w:rFonts w:ascii="Calibri" w:hAnsi="Calibri"/>
                <w:b/>
                <w:bCs/>
                <w:color w:val="FA7D00"/>
              </w:rPr>
            </w:pPr>
            <w:r w:rsidRPr="00ED4018">
              <w:rPr>
                <w:rFonts w:ascii="Calibri" w:hAnsi="Calibri"/>
                <w:b/>
                <w:bCs/>
                <w:color w:val="FA7D00"/>
              </w:rPr>
              <w:t>261,20 %</w:t>
            </w:r>
          </w:p>
        </w:tc>
        <w:tc>
          <w:tcPr>
            <w:tcW w:w="1160" w:type="dxa"/>
            <w:tcBorders>
              <w:top w:val="nil"/>
              <w:left w:val="nil"/>
              <w:bottom w:val="single" w:sz="4" w:space="0" w:color="7F7F7F"/>
              <w:right w:val="single" w:sz="4" w:space="0" w:color="7F7F7F"/>
            </w:tcBorders>
            <w:shd w:val="clear" w:color="000000" w:fill="F2F2F2"/>
            <w:noWrap/>
            <w:vAlign w:val="bottom"/>
            <w:hideMark/>
          </w:tcPr>
          <w:p w:rsidR="00D62A57" w:rsidRPr="00ED4018" w:rsidRDefault="00D62A57" w:rsidP="00D62A57">
            <w:pPr>
              <w:jc w:val="right"/>
              <w:rPr>
                <w:rFonts w:ascii="Calibri" w:hAnsi="Calibri"/>
                <w:b/>
                <w:bCs/>
                <w:color w:val="FA7D00"/>
              </w:rPr>
            </w:pPr>
            <w:r w:rsidRPr="00ED4018">
              <w:rPr>
                <w:rFonts w:ascii="Calibri" w:hAnsi="Calibri"/>
                <w:b/>
                <w:bCs/>
                <w:color w:val="FA7D00"/>
              </w:rPr>
              <w:t>535,2</w:t>
            </w:r>
          </w:p>
        </w:tc>
        <w:tc>
          <w:tcPr>
            <w:tcW w:w="1140" w:type="dxa"/>
            <w:tcBorders>
              <w:top w:val="nil"/>
              <w:left w:val="nil"/>
              <w:bottom w:val="single" w:sz="4" w:space="0" w:color="7F7F7F"/>
              <w:right w:val="single" w:sz="4" w:space="0" w:color="7F7F7F"/>
            </w:tcBorders>
            <w:shd w:val="clear" w:color="000000" w:fill="F2F2F2"/>
            <w:noWrap/>
            <w:vAlign w:val="bottom"/>
            <w:hideMark/>
          </w:tcPr>
          <w:p w:rsidR="00D62A57" w:rsidRPr="00ED4018" w:rsidRDefault="00D62A57" w:rsidP="00D62A57">
            <w:pPr>
              <w:jc w:val="right"/>
              <w:rPr>
                <w:rFonts w:ascii="Calibri" w:hAnsi="Calibri"/>
                <w:b/>
                <w:bCs/>
                <w:color w:val="FA7D00"/>
              </w:rPr>
            </w:pPr>
            <w:r w:rsidRPr="00ED4018">
              <w:rPr>
                <w:rFonts w:ascii="Calibri" w:hAnsi="Calibri"/>
                <w:b/>
                <w:bCs/>
                <w:color w:val="FA7D00"/>
              </w:rPr>
              <w:t>685,2</w:t>
            </w:r>
          </w:p>
        </w:tc>
        <w:tc>
          <w:tcPr>
            <w:tcW w:w="1140" w:type="dxa"/>
            <w:tcBorders>
              <w:top w:val="nil"/>
              <w:left w:val="nil"/>
              <w:bottom w:val="single" w:sz="4" w:space="0" w:color="7F7F7F"/>
              <w:right w:val="single" w:sz="4" w:space="0" w:color="7F7F7F"/>
            </w:tcBorders>
            <w:shd w:val="clear" w:color="000000" w:fill="F2F2F2"/>
            <w:noWrap/>
            <w:vAlign w:val="bottom"/>
            <w:hideMark/>
          </w:tcPr>
          <w:p w:rsidR="00D62A57" w:rsidRPr="00ED4018" w:rsidRDefault="00D62A57" w:rsidP="00D62A57">
            <w:pPr>
              <w:jc w:val="right"/>
              <w:rPr>
                <w:rFonts w:ascii="Calibri" w:hAnsi="Calibri"/>
                <w:b/>
                <w:bCs/>
                <w:color w:val="FA7D00"/>
              </w:rPr>
            </w:pPr>
            <w:r w:rsidRPr="00ED4018">
              <w:rPr>
                <w:rFonts w:ascii="Calibri" w:hAnsi="Calibri"/>
                <w:b/>
                <w:bCs/>
                <w:color w:val="FA7D00"/>
              </w:rPr>
              <w:t>695,2</w:t>
            </w:r>
          </w:p>
        </w:tc>
      </w:tr>
    </w:tbl>
    <w:p w:rsidR="00D62A57" w:rsidRDefault="00D62A57" w:rsidP="00D62A57">
      <w:pPr>
        <w:rPr>
          <w:b/>
        </w:rPr>
      </w:pPr>
      <w:r>
        <w:rPr>
          <w:b/>
        </w:rPr>
        <w:br/>
        <w:t>Helse og omsorg:</w:t>
      </w:r>
    </w:p>
    <w:tbl>
      <w:tblPr>
        <w:tblW w:w="9620" w:type="dxa"/>
        <w:tblCellMar>
          <w:left w:w="70" w:type="dxa"/>
          <w:right w:w="70" w:type="dxa"/>
        </w:tblCellMar>
        <w:tblLook w:val="04A0" w:firstRow="1" w:lastRow="0" w:firstColumn="1" w:lastColumn="0" w:noHBand="0" w:noVBand="1"/>
      </w:tblPr>
      <w:tblGrid>
        <w:gridCol w:w="921"/>
        <w:gridCol w:w="1429"/>
        <w:gridCol w:w="1381"/>
        <w:gridCol w:w="1349"/>
        <w:gridCol w:w="1100"/>
        <w:gridCol w:w="1160"/>
        <w:gridCol w:w="1140"/>
        <w:gridCol w:w="1140"/>
      </w:tblGrid>
      <w:tr w:rsidR="00D62A57" w:rsidRPr="00ED4018" w:rsidTr="00D62A57">
        <w:trPr>
          <w:trHeight w:val="300"/>
        </w:trPr>
        <w:tc>
          <w:tcPr>
            <w:tcW w:w="5080" w:type="dxa"/>
            <w:gridSpan w:val="4"/>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D62A57" w:rsidRPr="00ED4018" w:rsidRDefault="00D62A57" w:rsidP="00D62A57">
            <w:pPr>
              <w:jc w:val="center"/>
              <w:rPr>
                <w:rFonts w:ascii="Calibri" w:hAnsi="Calibri"/>
                <w:color w:val="3F3F76"/>
              </w:rPr>
            </w:pPr>
            <w:r w:rsidRPr="00ED4018">
              <w:rPr>
                <w:rFonts w:ascii="Calibri" w:hAnsi="Calibri"/>
                <w:color w:val="3F3F76"/>
              </w:rPr>
              <w:t>Økning</w:t>
            </w:r>
          </w:p>
        </w:tc>
        <w:tc>
          <w:tcPr>
            <w:tcW w:w="4540" w:type="dxa"/>
            <w:gridSpan w:val="4"/>
            <w:tcBorders>
              <w:top w:val="single" w:sz="4" w:space="0" w:color="7F7F7F"/>
              <w:left w:val="nil"/>
              <w:bottom w:val="single" w:sz="4" w:space="0" w:color="7F7F7F"/>
              <w:right w:val="single" w:sz="4" w:space="0" w:color="7F7F7F"/>
            </w:tcBorders>
            <w:shd w:val="clear" w:color="000000" w:fill="F2F2F2"/>
            <w:noWrap/>
            <w:vAlign w:val="bottom"/>
            <w:hideMark/>
          </w:tcPr>
          <w:p w:rsidR="00D62A57" w:rsidRPr="00ED4018" w:rsidRDefault="00D62A57" w:rsidP="00D62A57">
            <w:pPr>
              <w:jc w:val="center"/>
              <w:rPr>
                <w:rFonts w:ascii="Calibri" w:hAnsi="Calibri"/>
                <w:b/>
                <w:bCs/>
                <w:color w:val="FA7D00"/>
              </w:rPr>
            </w:pPr>
            <w:r w:rsidRPr="00ED4018">
              <w:rPr>
                <w:rFonts w:ascii="Calibri" w:hAnsi="Calibri"/>
                <w:b/>
                <w:bCs/>
                <w:color w:val="FA7D00"/>
              </w:rPr>
              <w:t>Reduksjon</w:t>
            </w:r>
          </w:p>
        </w:tc>
      </w:tr>
      <w:tr w:rsidR="00D62A57" w:rsidRPr="00ED4018" w:rsidTr="00D62A57">
        <w:trPr>
          <w:trHeight w:val="300"/>
        </w:trPr>
        <w:tc>
          <w:tcPr>
            <w:tcW w:w="921"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ED4018" w:rsidRDefault="00D62A57" w:rsidP="00D62A57">
            <w:pPr>
              <w:jc w:val="right"/>
              <w:rPr>
                <w:rFonts w:ascii="Calibri" w:hAnsi="Calibri"/>
                <w:color w:val="3F3F76"/>
              </w:rPr>
            </w:pPr>
            <w:r w:rsidRPr="00ED4018">
              <w:rPr>
                <w:rFonts w:ascii="Calibri" w:hAnsi="Calibri"/>
                <w:color w:val="3F3F76"/>
              </w:rPr>
              <w:t>2018</w:t>
            </w:r>
          </w:p>
        </w:tc>
        <w:tc>
          <w:tcPr>
            <w:tcW w:w="1429" w:type="dxa"/>
            <w:tcBorders>
              <w:top w:val="nil"/>
              <w:left w:val="nil"/>
              <w:bottom w:val="single" w:sz="4" w:space="0" w:color="7F7F7F"/>
              <w:right w:val="single" w:sz="4" w:space="0" w:color="7F7F7F"/>
            </w:tcBorders>
            <w:shd w:val="clear" w:color="000000" w:fill="FFCC99"/>
            <w:noWrap/>
            <w:vAlign w:val="bottom"/>
            <w:hideMark/>
          </w:tcPr>
          <w:p w:rsidR="00D62A57" w:rsidRPr="00ED4018" w:rsidRDefault="00D62A57" w:rsidP="00D62A57">
            <w:pPr>
              <w:jc w:val="right"/>
              <w:rPr>
                <w:rFonts w:ascii="Calibri" w:hAnsi="Calibri"/>
                <w:color w:val="3F3F76"/>
              </w:rPr>
            </w:pPr>
            <w:r w:rsidRPr="00ED4018">
              <w:rPr>
                <w:rFonts w:ascii="Calibri" w:hAnsi="Calibri"/>
                <w:color w:val="3F3F76"/>
              </w:rPr>
              <w:t>2019</w:t>
            </w:r>
          </w:p>
        </w:tc>
        <w:tc>
          <w:tcPr>
            <w:tcW w:w="1381" w:type="dxa"/>
            <w:tcBorders>
              <w:top w:val="nil"/>
              <w:left w:val="nil"/>
              <w:bottom w:val="single" w:sz="4" w:space="0" w:color="7F7F7F"/>
              <w:right w:val="single" w:sz="4" w:space="0" w:color="7F7F7F"/>
            </w:tcBorders>
            <w:shd w:val="clear" w:color="000000" w:fill="FFCC99"/>
            <w:noWrap/>
            <w:vAlign w:val="bottom"/>
            <w:hideMark/>
          </w:tcPr>
          <w:p w:rsidR="00D62A57" w:rsidRPr="00ED4018" w:rsidRDefault="00D62A57" w:rsidP="00D62A57">
            <w:pPr>
              <w:jc w:val="right"/>
              <w:rPr>
                <w:rFonts w:ascii="Calibri" w:hAnsi="Calibri"/>
                <w:color w:val="3F3F76"/>
              </w:rPr>
            </w:pPr>
            <w:r w:rsidRPr="00ED4018">
              <w:rPr>
                <w:rFonts w:ascii="Calibri" w:hAnsi="Calibri"/>
                <w:color w:val="3F3F76"/>
              </w:rPr>
              <w:t>2020</w:t>
            </w:r>
          </w:p>
        </w:tc>
        <w:tc>
          <w:tcPr>
            <w:tcW w:w="1349" w:type="dxa"/>
            <w:tcBorders>
              <w:top w:val="nil"/>
              <w:left w:val="nil"/>
              <w:bottom w:val="single" w:sz="4" w:space="0" w:color="7F7F7F"/>
              <w:right w:val="single" w:sz="4" w:space="0" w:color="7F7F7F"/>
            </w:tcBorders>
            <w:shd w:val="clear" w:color="000000" w:fill="FFCC99"/>
            <w:noWrap/>
            <w:vAlign w:val="bottom"/>
            <w:hideMark/>
          </w:tcPr>
          <w:p w:rsidR="00D62A57" w:rsidRPr="00ED4018" w:rsidRDefault="00D62A57" w:rsidP="00D62A57">
            <w:pPr>
              <w:jc w:val="right"/>
              <w:rPr>
                <w:rFonts w:ascii="Calibri" w:hAnsi="Calibri"/>
                <w:color w:val="3F3F76"/>
              </w:rPr>
            </w:pPr>
            <w:r w:rsidRPr="00ED4018">
              <w:rPr>
                <w:rFonts w:ascii="Calibri" w:hAnsi="Calibri"/>
                <w:color w:val="3F3F76"/>
              </w:rPr>
              <w:t>2021</w:t>
            </w:r>
          </w:p>
        </w:tc>
        <w:tc>
          <w:tcPr>
            <w:tcW w:w="1100" w:type="dxa"/>
            <w:tcBorders>
              <w:top w:val="nil"/>
              <w:left w:val="nil"/>
              <w:bottom w:val="single" w:sz="4" w:space="0" w:color="7F7F7F"/>
              <w:right w:val="single" w:sz="4" w:space="0" w:color="7F7F7F"/>
            </w:tcBorders>
            <w:shd w:val="clear" w:color="000000" w:fill="F2F2F2"/>
            <w:noWrap/>
            <w:vAlign w:val="bottom"/>
            <w:hideMark/>
          </w:tcPr>
          <w:p w:rsidR="00D62A57" w:rsidRPr="00ED4018" w:rsidRDefault="00D62A57" w:rsidP="00D62A57">
            <w:pPr>
              <w:jc w:val="right"/>
              <w:rPr>
                <w:rFonts w:ascii="Calibri" w:hAnsi="Calibri"/>
                <w:b/>
                <w:bCs/>
                <w:color w:val="FA7D00"/>
              </w:rPr>
            </w:pPr>
            <w:r w:rsidRPr="00ED4018">
              <w:rPr>
                <w:rFonts w:ascii="Calibri" w:hAnsi="Calibri"/>
                <w:b/>
                <w:bCs/>
                <w:color w:val="FA7D00"/>
              </w:rPr>
              <w:t>2018</w:t>
            </w:r>
          </w:p>
        </w:tc>
        <w:tc>
          <w:tcPr>
            <w:tcW w:w="1160" w:type="dxa"/>
            <w:tcBorders>
              <w:top w:val="nil"/>
              <w:left w:val="nil"/>
              <w:bottom w:val="single" w:sz="4" w:space="0" w:color="7F7F7F"/>
              <w:right w:val="single" w:sz="4" w:space="0" w:color="7F7F7F"/>
            </w:tcBorders>
            <w:shd w:val="clear" w:color="000000" w:fill="F2F2F2"/>
            <w:noWrap/>
            <w:vAlign w:val="bottom"/>
            <w:hideMark/>
          </w:tcPr>
          <w:p w:rsidR="00D62A57" w:rsidRPr="00ED4018" w:rsidRDefault="00D62A57" w:rsidP="00D62A57">
            <w:pPr>
              <w:jc w:val="right"/>
              <w:rPr>
                <w:rFonts w:ascii="Calibri" w:hAnsi="Calibri"/>
                <w:b/>
                <w:bCs/>
                <w:color w:val="FA7D00"/>
              </w:rPr>
            </w:pPr>
            <w:r w:rsidRPr="00ED4018">
              <w:rPr>
                <w:rFonts w:ascii="Calibri" w:hAnsi="Calibri"/>
                <w:b/>
                <w:bCs/>
                <w:color w:val="FA7D00"/>
              </w:rPr>
              <w:t>2019</w:t>
            </w:r>
          </w:p>
        </w:tc>
        <w:tc>
          <w:tcPr>
            <w:tcW w:w="1140" w:type="dxa"/>
            <w:tcBorders>
              <w:top w:val="nil"/>
              <w:left w:val="nil"/>
              <w:bottom w:val="single" w:sz="4" w:space="0" w:color="7F7F7F"/>
              <w:right w:val="single" w:sz="4" w:space="0" w:color="7F7F7F"/>
            </w:tcBorders>
            <w:shd w:val="clear" w:color="000000" w:fill="F2F2F2"/>
            <w:noWrap/>
            <w:vAlign w:val="bottom"/>
            <w:hideMark/>
          </w:tcPr>
          <w:p w:rsidR="00D62A57" w:rsidRPr="00ED4018" w:rsidRDefault="00D62A57" w:rsidP="00D62A57">
            <w:pPr>
              <w:jc w:val="right"/>
              <w:rPr>
                <w:rFonts w:ascii="Calibri" w:hAnsi="Calibri"/>
                <w:b/>
                <w:bCs/>
                <w:color w:val="FA7D00"/>
              </w:rPr>
            </w:pPr>
            <w:r w:rsidRPr="00ED4018">
              <w:rPr>
                <w:rFonts w:ascii="Calibri" w:hAnsi="Calibri"/>
                <w:b/>
                <w:bCs/>
                <w:color w:val="FA7D00"/>
              </w:rPr>
              <w:t>2020</w:t>
            </w:r>
          </w:p>
        </w:tc>
        <w:tc>
          <w:tcPr>
            <w:tcW w:w="1140" w:type="dxa"/>
            <w:tcBorders>
              <w:top w:val="nil"/>
              <w:left w:val="nil"/>
              <w:bottom w:val="single" w:sz="4" w:space="0" w:color="7F7F7F"/>
              <w:right w:val="single" w:sz="4" w:space="0" w:color="7F7F7F"/>
            </w:tcBorders>
            <w:shd w:val="clear" w:color="000000" w:fill="F2F2F2"/>
            <w:noWrap/>
            <w:vAlign w:val="bottom"/>
            <w:hideMark/>
          </w:tcPr>
          <w:p w:rsidR="00D62A57" w:rsidRPr="00ED4018" w:rsidRDefault="00D62A57" w:rsidP="00D62A57">
            <w:pPr>
              <w:jc w:val="right"/>
              <w:rPr>
                <w:rFonts w:ascii="Calibri" w:hAnsi="Calibri"/>
                <w:b/>
                <w:bCs/>
                <w:color w:val="FA7D00"/>
              </w:rPr>
            </w:pPr>
            <w:r w:rsidRPr="00ED4018">
              <w:rPr>
                <w:rFonts w:ascii="Calibri" w:hAnsi="Calibri"/>
                <w:b/>
                <w:bCs/>
                <w:color w:val="FA7D00"/>
              </w:rPr>
              <w:t>2021</w:t>
            </w:r>
          </w:p>
        </w:tc>
      </w:tr>
      <w:tr w:rsidR="00D62A57" w:rsidRPr="00ED4018" w:rsidTr="00D62A57">
        <w:trPr>
          <w:trHeight w:val="300"/>
        </w:trPr>
        <w:tc>
          <w:tcPr>
            <w:tcW w:w="921" w:type="dxa"/>
            <w:tcBorders>
              <w:top w:val="nil"/>
              <w:left w:val="single" w:sz="4" w:space="0" w:color="7F7F7F"/>
              <w:bottom w:val="single" w:sz="4" w:space="0" w:color="7F7F7F"/>
              <w:right w:val="single" w:sz="4" w:space="0" w:color="7F7F7F"/>
            </w:tcBorders>
            <w:shd w:val="clear" w:color="000000" w:fill="FFCC99"/>
            <w:noWrap/>
            <w:vAlign w:val="bottom"/>
            <w:hideMark/>
          </w:tcPr>
          <w:p w:rsidR="00D62A57" w:rsidRPr="00ED4018" w:rsidRDefault="00D62A57" w:rsidP="00D62A57">
            <w:pPr>
              <w:jc w:val="center"/>
              <w:rPr>
                <w:rFonts w:ascii="Calibri" w:hAnsi="Calibri"/>
                <w:color w:val="3F3F76"/>
              </w:rPr>
            </w:pPr>
            <w:r w:rsidRPr="00ED4018">
              <w:rPr>
                <w:rFonts w:ascii="Calibri" w:hAnsi="Calibri"/>
                <w:color w:val="3F3F76"/>
              </w:rPr>
              <w:t>140 %</w:t>
            </w:r>
          </w:p>
        </w:tc>
        <w:tc>
          <w:tcPr>
            <w:tcW w:w="1429" w:type="dxa"/>
            <w:tcBorders>
              <w:top w:val="nil"/>
              <w:left w:val="nil"/>
              <w:bottom w:val="single" w:sz="4" w:space="0" w:color="7F7F7F"/>
              <w:right w:val="single" w:sz="4" w:space="0" w:color="7F7F7F"/>
            </w:tcBorders>
            <w:shd w:val="clear" w:color="000000" w:fill="FFCC99"/>
            <w:vAlign w:val="bottom"/>
            <w:hideMark/>
          </w:tcPr>
          <w:p w:rsidR="00D62A57" w:rsidRPr="00ED4018" w:rsidRDefault="00D62A57" w:rsidP="00D62A57">
            <w:pPr>
              <w:jc w:val="center"/>
              <w:rPr>
                <w:rFonts w:ascii="Calibri" w:hAnsi="Calibri"/>
                <w:color w:val="3F3F76"/>
              </w:rPr>
            </w:pPr>
            <w:r w:rsidRPr="00ED4018">
              <w:rPr>
                <w:rFonts w:ascii="Calibri" w:hAnsi="Calibri"/>
                <w:color w:val="3F3F76"/>
              </w:rPr>
              <w:t>140 %</w:t>
            </w:r>
          </w:p>
        </w:tc>
        <w:tc>
          <w:tcPr>
            <w:tcW w:w="1381" w:type="dxa"/>
            <w:tcBorders>
              <w:top w:val="nil"/>
              <w:left w:val="nil"/>
              <w:bottom w:val="single" w:sz="4" w:space="0" w:color="7F7F7F"/>
              <w:right w:val="single" w:sz="4" w:space="0" w:color="7F7F7F"/>
            </w:tcBorders>
            <w:shd w:val="clear" w:color="000000" w:fill="FFCC99"/>
            <w:vAlign w:val="bottom"/>
            <w:hideMark/>
          </w:tcPr>
          <w:p w:rsidR="00D62A57" w:rsidRPr="00ED4018" w:rsidRDefault="00D62A57" w:rsidP="00D62A57">
            <w:pPr>
              <w:jc w:val="center"/>
              <w:rPr>
                <w:rFonts w:ascii="Calibri" w:hAnsi="Calibri"/>
                <w:color w:val="3F3F76"/>
              </w:rPr>
            </w:pPr>
            <w:r w:rsidRPr="00ED4018">
              <w:rPr>
                <w:rFonts w:ascii="Calibri" w:hAnsi="Calibri"/>
                <w:color w:val="3F3F76"/>
              </w:rPr>
              <w:t>440 %</w:t>
            </w:r>
          </w:p>
        </w:tc>
        <w:tc>
          <w:tcPr>
            <w:tcW w:w="1349" w:type="dxa"/>
            <w:tcBorders>
              <w:top w:val="nil"/>
              <w:left w:val="nil"/>
              <w:bottom w:val="single" w:sz="4" w:space="0" w:color="7F7F7F"/>
              <w:right w:val="single" w:sz="4" w:space="0" w:color="7F7F7F"/>
            </w:tcBorders>
            <w:shd w:val="clear" w:color="000000" w:fill="FFCC99"/>
            <w:vAlign w:val="bottom"/>
            <w:hideMark/>
          </w:tcPr>
          <w:p w:rsidR="00D62A57" w:rsidRPr="00ED4018" w:rsidRDefault="00D62A57" w:rsidP="00D62A57">
            <w:pPr>
              <w:jc w:val="right"/>
              <w:rPr>
                <w:rFonts w:ascii="Calibri" w:hAnsi="Calibri"/>
                <w:color w:val="3F3F76"/>
              </w:rPr>
            </w:pPr>
            <w:r w:rsidRPr="00ED4018">
              <w:rPr>
                <w:rFonts w:ascii="Calibri" w:hAnsi="Calibri"/>
                <w:color w:val="3F3F76"/>
              </w:rPr>
              <w:t>440 %</w:t>
            </w:r>
          </w:p>
        </w:tc>
        <w:tc>
          <w:tcPr>
            <w:tcW w:w="1100" w:type="dxa"/>
            <w:tcBorders>
              <w:top w:val="nil"/>
              <w:left w:val="nil"/>
              <w:bottom w:val="single" w:sz="4" w:space="0" w:color="7F7F7F"/>
              <w:right w:val="single" w:sz="4" w:space="0" w:color="7F7F7F"/>
            </w:tcBorders>
            <w:shd w:val="clear" w:color="000000" w:fill="F2F2F2"/>
            <w:vAlign w:val="bottom"/>
            <w:hideMark/>
          </w:tcPr>
          <w:p w:rsidR="00D62A57" w:rsidRPr="00ED4018" w:rsidRDefault="00D62A57" w:rsidP="00D62A57">
            <w:pPr>
              <w:jc w:val="right"/>
              <w:rPr>
                <w:rFonts w:ascii="Calibri" w:hAnsi="Calibri"/>
                <w:b/>
                <w:bCs/>
                <w:color w:val="FA7D00"/>
              </w:rPr>
            </w:pPr>
            <w:r>
              <w:rPr>
                <w:rFonts w:ascii="Calibri" w:hAnsi="Calibri"/>
                <w:b/>
                <w:bCs/>
                <w:color w:val="FA7D00"/>
              </w:rPr>
              <w:t>3</w:t>
            </w:r>
            <w:r w:rsidRPr="00ED4018">
              <w:rPr>
                <w:rFonts w:ascii="Calibri" w:hAnsi="Calibri"/>
                <w:b/>
                <w:bCs/>
                <w:color w:val="FA7D00"/>
              </w:rPr>
              <w:t>80 %</w:t>
            </w:r>
          </w:p>
        </w:tc>
        <w:tc>
          <w:tcPr>
            <w:tcW w:w="1160" w:type="dxa"/>
            <w:tcBorders>
              <w:top w:val="nil"/>
              <w:left w:val="nil"/>
              <w:bottom w:val="single" w:sz="4" w:space="0" w:color="7F7F7F"/>
              <w:right w:val="single" w:sz="4" w:space="0" w:color="7F7F7F"/>
            </w:tcBorders>
            <w:shd w:val="clear" w:color="000000" w:fill="F2F2F2"/>
            <w:vAlign w:val="bottom"/>
            <w:hideMark/>
          </w:tcPr>
          <w:p w:rsidR="00D62A57" w:rsidRPr="00ED4018" w:rsidRDefault="00D62A57" w:rsidP="00D62A57">
            <w:pPr>
              <w:jc w:val="right"/>
              <w:rPr>
                <w:rFonts w:ascii="Calibri" w:hAnsi="Calibri"/>
                <w:b/>
                <w:bCs/>
                <w:color w:val="FA7D00"/>
              </w:rPr>
            </w:pPr>
            <w:r>
              <w:rPr>
                <w:rFonts w:ascii="Calibri" w:hAnsi="Calibri"/>
                <w:b/>
                <w:bCs/>
                <w:color w:val="FA7D00"/>
              </w:rPr>
              <w:t>3</w:t>
            </w:r>
            <w:r w:rsidRPr="00ED4018">
              <w:rPr>
                <w:rFonts w:ascii="Calibri" w:hAnsi="Calibri"/>
                <w:b/>
                <w:bCs/>
                <w:color w:val="FA7D00"/>
              </w:rPr>
              <w:t>80 %</w:t>
            </w:r>
          </w:p>
        </w:tc>
        <w:tc>
          <w:tcPr>
            <w:tcW w:w="1140" w:type="dxa"/>
            <w:tcBorders>
              <w:top w:val="nil"/>
              <w:left w:val="nil"/>
              <w:bottom w:val="single" w:sz="4" w:space="0" w:color="7F7F7F"/>
              <w:right w:val="single" w:sz="4" w:space="0" w:color="7F7F7F"/>
            </w:tcBorders>
            <w:shd w:val="clear" w:color="000000" w:fill="F2F2F2"/>
            <w:vAlign w:val="bottom"/>
            <w:hideMark/>
          </w:tcPr>
          <w:p w:rsidR="00D62A57" w:rsidRPr="00ED4018" w:rsidRDefault="00D62A57" w:rsidP="00D62A57">
            <w:pPr>
              <w:jc w:val="right"/>
              <w:rPr>
                <w:rFonts w:ascii="Calibri" w:hAnsi="Calibri"/>
                <w:b/>
                <w:bCs/>
                <w:color w:val="FA7D00"/>
              </w:rPr>
            </w:pPr>
            <w:r>
              <w:rPr>
                <w:rFonts w:ascii="Calibri" w:hAnsi="Calibri"/>
                <w:b/>
                <w:bCs/>
                <w:color w:val="FA7D00"/>
              </w:rPr>
              <w:t>3</w:t>
            </w:r>
            <w:r w:rsidRPr="00ED4018">
              <w:rPr>
                <w:rFonts w:ascii="Calibri" w:hAnsi="Calibri"/>
                <w:b/>
                <w:bCs/>
                <w:color w:val="FA7D00"/>
              </w:rPr>
              <w:t>80 %</w:t>
            </w:r>
          </w:p>
        </w:tc>
        <w:tc>
          <w:tcPr>
            <w:tcW w:w="1140" w:type="dxa"/>
            <w:tcBorders>
              <w:top w:val="nil"/>
              <w:left w:val="nil"/>
              <w:bottom w:val="single" w:sz="4" w:space="0" w:color="7F7F7F"/>
              <w:right w:val="single" w:sz="4" w:space="0" w:color="7F7F7F"/>
            </w:tcBorders>
            <w:shd w:val="clear" w:color="000000" w:fill="F2F2F2"/>
            <w:vAlign w:val="bottom"/>
            <w:hideMark/>
          </w:tcPr>
          <w:p w:rsidR="00D62A57" w:rsidRPr="00ED4018" w:rsidRDefault="00D62A57" w:rsidP="00D62A57">
            <w:pPr>
              <w:jc w:val="right"/>
              <w:rPr>
                <w:rFonts w:ascii="Calibri" w:hAnsi="Calibri"/>
                <w:b/>
                <w:bCs/>
                <w:color w:val="FA7D00"/>
              </w:rPr>
            </w:pPr>
            <w:r>
              <w:rPr>
                <w:rFonts w:ascii="Calibri" w:hAnsi="Calibri"/>
                <w:b/>
                <w:bCs/>
                <w:color w:val="FA7D00"/>
              </w:rPr>
              <w:t>3</w:t>
            </w:r>
            <w:r w:rsidRPr="00ED4018">
              <w:rPr>
                <w:rFonts w:ascii="Calibri" w:hAnsi="Calibri"/>
                <w:b/>
                <w:bCs/>
                <w:color w:val="FA7D00"/>
              </w:rPr>
              <w:t>80 %</w:t>
            </w:r>
          </w:p>
        </w:tc>
      </w:tr>
    </w:tbl>
    <w:p w:rsidR="00D62A57" w:rsidRDefault="00D62A57" w:rsidP="00D62A57">
      <w:pPr>
        <w:rPr>
          <w:b/>
        </w:rPr>
      </w:pPr>
    </w:p>
    <w:p w:rsidR="00D62A57" w:rsidRPr="00DC5E4A" w:rsidRDefault="00D62A57" w:rsidP="00D62A57">
      <w:pPr>
        <w:rPr>
          <w:b/>
        </w:rPr>
      </w:pPr>
    </w:p>
    <w:p w:rsidR="00A51A29" w:rsidRDefault="003525E0" w:rsidP="00A51A29">
      <w:pPr>
        <w:pStyle w:val="Overskrift1"/>
        <w:numPr>
          <w:ilvl w:val="0"/>
          <w:numId w:val="1"/>
        </w:numPr>
      </w:pPr>
      <w:bookmarkStart w:id="21" w:name="_Toc497893554"/>
      <w:r>
        <w:t>Økonomiske oversikter og nøkkeltall</w:t>
      </w:r>
      <w:bookmarkEnd w:id="21"/>
    </w:p>
    <w:p w:rsidR="009A2D29" w:rsidRPr="009A2D29" w:rsidRDefault="009A2D29" w:rsidP="009A2D29">
      <w:r>
        <w:t>Forskriftskjemaene lages til møtet 29.11.2017</w:t>
      </w:r>
    </w:p>
    <w:p w:rsidR="001311C5" w:rsidRDefault="001311C5" w:rsidP="001311C5"/>
    <w:p w:rsidR="001311C5" w:rsidRDefault="009A2D29" w:rsidP="001311C5">
      <w:pPr>
        <w:pStyle w:val="Overskrift2"/>
      </w:pPr>
      <w:bookmarkStart w:id="22" w:name="_Toc497893555"/>
      <w:r>
        <w:t>6</w:t>
      </w:r>
      <w:r w:rsidR="001311C5">
        <w:t>.1 Skjema 1 A – drift</w:t>
      </w:r>
      <w:bookmarkEnd w:id="22"/>
    </w:p>
    <w:p w:rsidR="001311C5" w:rsidRPr="001311C5" w:rsidRDefault="009A2D29" w:rsidP="001311C5">
      <w:pPr>
        <w:pStyle w:val="Overskrift2"/>
      </w:pPr>
      <w:bookmarkStart w:id="23" w:name="_Toc497893556"/>
      <w:r>
        <w:t>6</w:t>
      </w:r>
      <w:r w:rsidR="001311C5">
        <w:t>.2 Skjema 1 B - drift</w:t>
      </w:r>
      <w:bookmarkEnd w:id="23"/>
    </w:p>
    <w:p w:rsidR="004D6AD8" w:rsidRPr="00370788" w:rsidRDefault="009A2D29" w:rsidP="004D6AD8">
      <w:pPr>
        <w:pStyle w:val="Overskrift2"/>
        <w:rPr>
          <w:b w:val="0"/>
          <w:i w:val="0"/>
          <w:sz w:val="16"/>
          <w:szCs w:val="16"/>
        </w:rPr>
      </w:pPr>
      <w:bookmarkStart w:id="24" w:name="_Toc497893557"/>
      <w:r>
        <w:t>6</w:t>
      </w:r>
      <w:r w:rsidR="004D6AD8">
        <w:t>.3 Økonomisk oversikt – drift</w:t>
      </w:r>
      <w:bookmarkEnd w:id="24"/>
    </w:p>
    <w:p w:rsidR="006B5C7B" w:rsidRPr="006B5C7B" w:rsidRDefault="009A2D29" w:rsidP="009A2D29">
      <w:pPr>
        <w:pStyle w:val="Overskrift2"/>
      </w:pPr>
      <w:bookmarkStart w:id="25" w:name="_Toc497893558"/>
      <w:r>
        <w:t>6</w:t>
      </w:r>
      <w:r w:rsidR="00CD6741">
        <w:t>.4</w:t>
      </w:r>
      <w:r w:rsidR="004D6AD8">
        <w:t xml:space="preserve"> Skjema 2 A </w:t>
      </w:r>
      <w:r w:rsidR="006B5C7B">
        <w:t>–</w:t>
      </w:r>
      <w:r w:rsidR="004D6AD8">
        <w:t xml:space="preserve"> investering</w:t>
      </w:r>
      <w:bookmarkEnd w:id="25"/>
    </w:p>
    <w:p w:rsidR="002679D6" w:rsidRPr="00E34393" w:rsidRDefault="009A2D29" w:rsidP="009A2D29">
      <w:pPr>
        <w:pStyle w:val="Overskrift2"/>
      </w:pPr>
      <w:bookmarkStart w:id="26" w:name="_Toc497893559"/>
      <w:r>
        <w:t>6</w:t>
      </w:r>
      <w:r w:rsidR="004D6AD8">
        <w:t>.5 Skjema 2 B – investering</w:t>
      </w:r>
      <w:bookmarkEnd w:id="26"/>
    </w:p>
    <w:p w:rsidR="004D6AD8" w:rsidRDefault="009A2D29" w:rsidP="004D6AD8">
      <w:pPr>
        <w:pStyle w:val="Overskrift2"/>
      </w:pPr>
      <w:bookmarkStart w:id="27" w:name="_Toc497893560"/>
      <w:r>
        <w:t>6</w:t>
      </w:r>
      <w:r w:rsidR="004D6AD8">
        <w:t>.6 Økonomisk oversikt investering</w:t>
      </w:r>
      <w:bookmarkEnd w:id="27"/>
      <w:r w:rsidR="004D6AD8">
        <w:t xml:space="preserve"> </w:t>
      </w:r>
    </w:p>
    <w:sectPr w:rsidR="004D6AD8" w:rsidSect="00DA2839">
      <w:headerReference w:type="even" r:id="rId20"/>
      <w:headerReference w:type="default" r:id="rId21"/>
      <w:footerReference w:type="even" r:id="rId22"/>
      <w:footerReference w:type="default" r:id="rId23"/>
      <w:pgSz w:w="11906" w:h="16838" w:code="9"/>
      <w:pgMar w:top="1417" w:right="1417" w:bottom="1417" w:left="1417" w:header="708"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A57" w:rsidRDefault="00D62A57">
      <w:r>
        <w:separator/>
      </w:r>
    </w:p>
  </w:endnote>
  <w:endnote w:type="continuationSeparator" w:id="0">
    <w:p w:rsidR="00D62A57" w:rsidRDefault="00D6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57" w:rsidRDefault="00D62A57" w:rsidP="00A54F65">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D62A57" w:rsidRDefault="00D62A57">
    <w:pPr>
      <w:pStyle w:val="Bunn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57" w:rsidRDefault="00D62A57" w:rsidP="00A54F65">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E441E6">
      <w:rPr>
        <w:rStyle w:val="Sidetall"/>
        <w:noProof/>
      </w:rPr>
      <w:t>17</w:t>
    </w:r>
    <w:r>
      <w:rPr>
        <w:rStyle w:val="Sidetall"/>
      </w:rPr>
      <w:fldChar w:fldCharType="end"/>
    </w:r>
  </w:p>
  <w:p w:rsidR="00D62A57" w:rsidRDefault="00D62A57">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A57" w:rsidRDefault="00D62A57">
      <w:r>
        <w:separator/>
      </w:r>
    </w:p>
  </w:footnote>
  <w:footnote w:type="continuationSeparator" w:id="0">
    <w:p w:rsidR="00D62A57" w:rsidRDefault="00D62A57">
      <w:r>
        <w:continuationSeparator/>
      </w:r>
    </w:p>
  </w:footnote>
  <w:footnote w:id="1">
    <w:p w:rsidR="00D62A57" w:rsidRDefault="00D62A57" w:rsidP="00D62A57">
      <w:pPr>
        <w:pStyle w:val="Fotnotetekst"/>
      </w:pPr>
      <w:r>
        <w:rPr>
          <w:rStyle w:val="Fotnotereferanse"/>
        </w:rPr>
        <w:footnoteRef/>
      </w:r>
      <w:r>
        <w:t xml:space="preserve"> Hvilke innbyggere (</w:t>
      </w:r>
      <w:proofErr w:type="spellStart"/>
      <w:r>
        <w:t>ift</w:t>
      </w:r>
      <w:proofErr w:type="spellEnd"/>
      <w:r>
        <w:t xml:space="preserve"> alder, behov m fl) kan påvirke behovsindeksen, men vil ikke gjøre store utslag i beregninga.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57" w:rsidRDefault="00D62A57" w:rsidP="006171A2">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D62A57" w:rsidRDefault="00D62A57" w:rsidP="009A3A18">
    <w:pPr>
      <w:pStyle w:val="Topptekst"/>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57" w:rsidRDefault="00D62A57" w:rsidP="00CC58E4">
    <w:pPr>
      <w:pStyle w:val="Topptekst"/>
      <w:ind w:left="720" w:right="360"/>
      <w:jc w:val="center"/>
      <w:rPr>
        <w:b/>
        <w:u w:val="single"/>
      </w:rPr>
    </w:pPr>
    <w:r>
      <w:rPr>
        <w:b/>
      </w:rPr>
      <w:t xml:space="preserve">SKJERVØY KOMMUNE – ØKONOMIPLAN </w:t>
    </w:r>
    <w:r w:rsidRPr="00CC58E4">
      <w:rPr>
        <w:b/>
      </w:rPr>
      <w:t xml:space="preserve"> 20</w:t>
    </w:r>
    <w:r>
      <w:rPr>
        <w:b/>
      </w:rPr>
      <w:t>18 – 2021</w:t>
    </w:r>
  </w:p>
  <w:p w:rsidR="00D62A57" w:rsidRPr="00D7412F" w:rsidRDefault="00D62A57" w:rsidP="00CC58E4">
    <w:pPr>
      <w:pStyle w:val="Topptekst"/>
      <w:ind w:left="720" w:right="360"/>
      <w:rPr>
        <w:b/>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C18"/>
    <w:multiLevelType w:val="hybridMultilevel"/>
    <w:tmpl w:val="33C0A1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7A220F"/>
    <w:multiLevelType w:val="hybridMultilevel"/>
    <w:tmpl w:val="91B0739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7AD0E1A"/>
    <w:multiLevelType w:val="hybridMultilevel"/>
    <w:tmpl w:val="46DA9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3756BCB"/>
    <w:multiLevelType w:val="hybridMultilevel"/>
    <w:tmpl w:val="F356B4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F95A4A"/>
    <w:multiLevelType w:val="hybridMultilevel"/>
    <w:tmpl w:val="5F7A2A6A"/>
    <w:lvl w:ilvl="0" w:tplc="04140001">
      <w:start w:val="1"/>
      <w:numFmt w:val="bullet"/>
      <w:lvlText w:val=""/>
      <w:lvlJc w:val="left"/>
      <w:pPr>
        <w:ind w:left="720" w:hanging="360"/>
      </w:pPr>
      <w:rPr>
        <w:rFonts w:ascii="Symbol" w:hAnsi="Symbol" w:hint="default"/>
      </w:rPr>
    </w:lvl>
    <w:lvl w:ilvl="1" w:tplc="68340CDA">
      <w:numFmt w:val="bullet"/>
      <w:lvlText w:val="-"/>
      <w:lvlJc w:val="left"/>
      <w:pPr>
        <w:ind w:left="1440" w:hanging="360"/>
      </w:pPr>
      <w:rPr>
        <w:rFonts w:ascii="Times New Roman" w:eastAsia="Times New Roman" w:hAnsi="Times New Roman" w:cs="Times New Roman" w:hint="default"/>
        <w:i w:val="0"/>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AF87C32"/>
    <w:multiLevelType w:val="hybridMultilevel"/>
    <w:tmpl w:val="B4AEE6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E036242"/>
    <w:multiLevelType w:val="hybridMultilevel"/>
    <w:tmpl w:val="9FD091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265773E"/>
    <w:multiLevelType w:val="hybridMultilevel"/>
    <w:tmpl w:val="C8FE451E"/>
    <w:lvl w:ilvl="0" w:tplc="04140001">
      <w:start w:val="1"/>
      <w:numFmt w:val="bullet"/>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64375FA1"/>
    <w:multiLevelType w:val="multilevel"/>
    <w:tmpl w:val="4D3452C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769365D"/>
    <w:multiLevelType w:val="hybridMultilevel"/>
    <w:tmpl w:val="84540C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E636E1E"/>
    <w:multiLevelType w:val="hybridMultilevel"/>
    <w:tmpl w:val="AB8EE6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0"/>
  </w:num>
  <w:num w:numId="5">
    <w:abstractNumId w:val="4"/>
  </w:num>
  <w:num w:numId="6">
    <w:abstractNumId w:val="3"/>
  </w:num>
  <w:num w:numId="7">
    <w:abstractNumId w:val="5"/>
  </w:num>
  <w:num w:numId="8">
    <w:abstractNumId w:val="6"/>
  </w:num>
  <w:num w:numId="9">
    <w:abstractNumId w:val="2"/>
  </w:num>
  <w:num w:numId="10">
    <w:abstractNumId w:val="0"/>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2E"/>
    <w:rsid w:val="00000429"/>
    <w:rsid w:val="0000056B"/>
    <w:rsid w:val="000050CA"/>
    <w:rsid w:val="0000587B"/>
    <w:rsid w:val="000059A8"/>
    <w:rsid w:val="00005C21"/>
    <w:rsid w:val="000061D5"/>
    <w:rsid w:val="00006755"/>
    <w:rsid w:val="00010364"/>
    <w:rsid w:val="000118FB"/>
    <w:rsid w:val="000132F6"/>
    <w:rsid w:val="00016943"/>
    <w:rsid w:val="00020DF0"/>
    <w:rsid w:val="00021F40"/>
    <w:rsid w:val="000230B2"/>
    <w:rsid w:val="00024749"/>
    <w:rsid w:val="00024BC2"/>
    <w:rsid w:val="00024D28"/>
    <w:rsid w:val="00027094"/>
    <w:rsid w:val="000337A8"/>
    <w:rsid w:val="000342FF"/>
    <w:rsid w:val="000354BA"/>
    <w:rsid w:val="00035FC1"/>
    <w:rsid w:val="00040951"/>
    <w:rsid w:val="000409E2"/>
    <w:rsid w:val="00041A37"/>
    <w:rsid w:val="000421A5"/>
    <w:rsid w:val="00044684"/>
    <w:rsid w:val="00044D4D"/>
    <w:rsid w:val="00045C28"/>
    <w:rsid w:val="00046839"/>
    <w:rsid w:val="00050048"/>
    <w:rsid w:val="00050316"/>
    <w:rsid w:val="00050E49"/>
    <w:rsid w:val="000510F1"/>
    <w:rsid w:val="00053FBB"/>
    <w:rsid w:val="000545BB"/>
    <w:rsid w:val="00054EDA"/>
    <w:rsid w:val="00056CCB"/>
    <w:rsid w:val="000576D3"/>
    <w:rsid w:val="00060CD1"/>
    <w:rsid w:val="00061F54"/>
    <w:rsid w:val="000635DF"/>
    <w:rsid w:val="000740F0"/>
    <w:rsid w:val="00074554"/>
    <w:rsid w:val="0007675D"/>
    <w:rsid w:val="00077336"/>
    <w:rsid w:val="00077F80"/>
    <w:rsid w:val="000844DD"/>
    <w:rsid w:val="00085A98"/>
    <w:rsid w:val="00087C99"/>
    <w:rsid w:val="00093162"/>
    <w:rsid w:val="00094584"/>
    <w:rsid w:val="00094EAA"/>
    <w:rsid w:val="000951B0"/>
    <w:rsid w:val="000971A7"/>
    <w:rsid w:val="000A003C"/>
    <w:rsid w:val="000A0205"/>
    <w:rsid w:val="000A20D1"/>
    <w:rsid w:val="000B14A4"/>
    <w:rsid w:val="000B2D45"/>
    <w:rsid w:val="000B44FF"/>
    <w:rsid w:val="000B5C14"/>
    <w:rsid w:val="000C38D8"/>
    <w:rsid w:val="000C55D3"/>
    <w:rsid w:val="000C5F52"/>
    <w:rsid w:val="000D0269"/>
    <w:rsid w:val="000D41C3"/>
    <w:rsid w:val="000D4A47"/>
    <w:rsid w:val="000D6FA0"/>
    <w:rsid w:val="000D7FB6"/>
    <w:rsid w:val="000E0D0B"/>
    <w:rsid w:val="000E1AA9"/>
    <w:rsid w:val="000E1C52"/>
    <w:rsid w:val="000E2583"/>
    <w:rsid w:val="000E2627"/>
    <w:rsid w:val="000E2F8E"/>
    <w:rsid w:val="000E38D1"/>
    <w:rsid w:val="000E4813"/>
    <w:rsid w:val="000E4A05"/>
    <w:rsid w:val="000E5C18"/>
    <w:rsid w:val="000F2FB4"/>
    <w:rsid w:val="000F4950"/>
    <w:rsid w:val="001015EB"/>
    <w:rsid w:val="001018E7"/>
    <w:rsid w:val="001028DB"/>
    <w:rsid w:val="001062AB"/>
    <w:rsid w:val="0010636E"/>
    <w:rsid w:val="00106761"/>
    <w:rsid w:val="00107F70"/>
    <w:rsid w:val="0011155A"/>
    <w:rsid w:val="001117E4"/>
    <w:rsid w:val="00114B33"/>
    <w:rsid w:val="0011519C"/>
    <w:rsid w:val="00121AA8"/>
    <w:rsid w:val="00122A2A"/>
    <w:rsid w:val="00125581"/>
    <w:rsid w:val="00126446"/>
    <w:rsid w:val="00130656"/>
    <w:rsid w:val="0013104F"/>
    <w:rsid w:val="001311C5"/>
    <w:rsid w:val="0013176D"/>
    <w:rsid w:val="0013257A"/>
    <w:rsid w:val="001326FC"/>
    <w:rsid w:val="0013306D"/>
    <w:rsid w:val="0013633B"/>
    <w:rsid w:val="0013665A"/>
    <w:rsid w:val="00136682"/>
    <w:rsid w:val="00137164"/>
    <w:rsid w:val="001375D9"/>
    <w:rsid w:val="00142F6B"/>
    <w:rsid w:val="0014525E"/>
    <w:rsid w:val="00147413"/>
    <w:rsid w:val="00150BD1"/>
    <w:rsid w:val="00152A3C"/>
    <w:rsid w:val="00152DD2"/>
    <w:rsid w:val="001541BF"/>
    <w:rsid w:val="0015457B"/>
    <w:rsid w:val="00155A20"/>
    <w:rsid w:val="00156B1E"/>
    <w:rsid w:val="00156B9C"/>
    <w:rsid w:val="00157277"/>
    <w:rsid w:val="00157829"/>
    <w:rsid w:val="00157E80"/>
    <w:rsid w:val="00164900"/>
    <w:rsid w:val="00164D02"/>
    <w:rsid w:val="00166BB5"/>
    <w:rsid w:val="001700FB"/>
    <w:rsid w:val="0017066D"/>
    <w:rsid w:val="00170B6C"/>
    <w:rsid w:val="00173906"/>
    <w:rsid w:val="00173F8B"/>
    <w:rsid w:val="00174958"/>
    <w:rsid w:val="00175EC2"/>
    <w:rsid w:val="0017693D"/>
    <w:rsid w:val="00177D32"/>
    <w:rsid w:val="001812CE"/>
    <w:rsid w:val="00181662"/>
    <w:rsid w:val="00184A82"/>
    <w:rsid w:val="0018678E"/>
    <w:rsid w:val="00187809"/>
    <w:rsid w:val="00187AD7"/>
    <w:rsid w:val="00187F15"/>
    <w:rsid w:val="00192009"/>
    <w:rsid w:val="00193926"/>
    <w:rsid w:val="001A1562"/>
    <w:rsid w:val="001A1801"/>
    <w:rsid w:val="001A1ACA"/>
    <w:rsid w:val="001A63CD"/>
    <w:rsid w:val="001A7FA1"/>
    <w:rsid w:val="001B0AB9"/>
    <w:rsid w:val="001B0B21"/>
    <w:rsid w:val="001B250E"/>
    <w:rsid w:val="001B2E27"/>
    <w:rsid w:val="001B4225"/>
    <w:rsid w:val="001B425C"/>
    <w:rsid w:val="001B6F79"/>
    <w:rsid w:val="001C26A2"/>
    <w:rsid w:val="001C444A"/>
    <w:rsid w:val="001C4E8C"/>
    <w:rsid w:val="001C527C"/>
    <w:rsid w:val="001C6FE9"/>
    <w:rsid w:val="001D00BA"/>
    <w:rsid w:val="001D5C2E"/>
    <w:rsid w:val="001E10ED"/>
    <w:rsid w:val="001E3EF2"/>
    <w:rsid w:val="001E50DD"/>
    <w:rsid w:val="001E51CB"/>
    <w:rsid w:val="001E5735"/>
    <w:rsid w:val="001E6A94"/>
    <w:rsid w:val="001E6BDB"/>
    <w:rsid w:val="001F1FDD"/>
    <w:rsid w:val="001F231E"/>
    <w:rsid w:val="001F53E6"/>
    <w:rsid w:val="00200DFC"/>
    <w:rsid w:val="0020411E"/>
    <w:rsid w:val="002054F2"/>
    <w:rsid w:val="00212379"/>
    <w:rsid w:val="00212402"/>
    <w:rsid w:val="00212616"/>
    <w:rsid w:val="00213005"/>
    <w:rsid w:val="00216BBA"/>
    <w:rsid w:val="00216EF5"/>
    <w:rsid w:val="002170C1"/>
    <w:rsid w:val="00224B8E"/>
    <w:rsid w:val="00226FF0"/>
    <w:rsid w:val="002274FF"/>
    <w:rsid w:val="00230B35"/>
    <w:rsid w:val="00235623"/>
    <w:rsid w:val="0024111A"/>
    <w:rsid w:val="0024603E"/>
    <w:rsid w:val="00246DA5"/>
    <w:rsid w:val="00253AD2"/>
    <w:rsid w:val="00254B3D"/>
    <w:rsid w:val="00255C33"/>
    <w:rsid w:val="002571B8"/>
    <w:rsid w:val="00257C9E"/>
    <w:rsid w:val="00257CD2"/>
    <w:rsid w:val="00260586"/>
    <w:rsid w:val="0026254F"/>
    <w:rsid w:val="002628AA"/>
    <w:rsid w:val="0026292B"/>
    <w:rsid w:val="002630AC"/>
    <w:rsid w:val="00263397"/>
    <w:rsid w:val="002655F3"/>
    <w:rsid w:val="00265B74"/>
    <w:rsid w:val="002679D6"/>
    <w:rsid w:val="0027154A"/>
    <w:rsid w:val="00282EED"/>
    <w:rsid w:val="00286C33"/>
    <w:rsid w:val="00290F24"/>
    <w:rsid w:val="00293537"/>
    <w:rsid w:val="00293D0C"/>
    <w:rsid w:val="00293F55"/>
    <w:rsid w:val="00296824"/>
    <w:rsid w:val="002A1825"/>
    <w:rsid w:val="002A2724"/>
    <w:rsid w:val="002A591C"/>
    <w:rsid w:val="002A5E11"/>
    <w:rsid w:val="002A794A"/>
    <w:rsid w:val="002B0023"/>
    <w:rsid w:val="002B0D3B"/>
    <w:rsid w:val="002B4A30"/>
    <w:rsid w:val="002C1E70"/>
    <w:rsid w:val="002C3486"/>
    <w:rsid w:val="002C3EBA"/>
    <w:rsid w:val="002C4559"/>
    <w:rsid w:val="002C54A3"/>
    <w:rsid w:val="002C58A3"/>
    <w:rsid w:val="002C5FB0"/>
    <w:rsid w:val="002C6233"/>
    <w:rsid w:val="002D0062"/>
    <w:rsid w:val="002D4266"/>
    <w:rsid w:val="002D50C1"/>
    <w:rsid w:val="002D52EB"/>
    <w:rsid w:val="002D5995"/>
    <w:rsid w:val="002E5E02"/>
    <w:rsid w:val="002E6AA9"/>
    <w:rsid w:val="002E7E8A"/>
    <w:rsid w:val="002F0314"/>
    <w:rsid w:val="002F0CD4"/>
    <w:rsid w:val="002F13D1"/>
    <w:rsid w:val="002F30D9"/>
    <w:rsid w:val="002F3A10"/>
    <w:rsid w:val="002F70A3"/>
    <w:rsid w:val="00300AF9"/>
    <w:rsid w:val="00302013"/>
    <w:rsid w:val="003028DC"/>
    <w:rsid w:val="00302E57"/>
    <w:rsid w:val="0030624F"/>
    <w:rsid w:val="0030692B"/>
    <w:rsid w:val="00306E21"/>
    <w:rsid w:val="00307EBB"/>
    <w:rsid w:val="00310846"/>
    <w:rsid w:val="00311942"/>
    <w:rsid w:val="0031675A"/>
    <w:rsid w:val="003200D2"/>
    <w:rsid w:val="003209C5"/>
    <w:rsid w:val="0032141B"/>
    <w:rsid w:val="00321504"/>
    <w:rsid w:val="0032640A"/>
    <w:rsid w:val="00326960"/>
    <w:rsid w:val="0033136E"/>
    <w:rsid w:val="00332BA1"/>
    <w:rsid w:val="00332DDC"/>
    <w:rsid w:val="00335C4D"/>
    <w:rsid w:val="00342D9B"/>
    <w:rsid w:val="00343285"/>
    <w:rsid w:val="00346BF7"/>
    <w:rsid w:val="00346FCE"/>
    <w:rsid w:val="003525E0"/>
    <w:rsid w:val="00357688"/>
    <w:rsid w:val="00360781"/>
    <w:rsid w:val="0036091C"/>
    <w:rsid w:val="00362ACD"/>
    <w:rsid w:val="00366154"/>
    <w:rsid w:val="00366EB2"/>
    <w:rsid w:val="00367020"/>
    <w:rsid w:val="00370788"/>
    <w:rsid w:val="00370C9D"/>
    <w:rsid w:val="00371C1A"/>
    <w:rsid w:val="003732DF"/>
    <w:rsid w:val="00373432"/>
    <w:rsid w:val="00373A64"/>
    <w:rsid w:val="0037412B"/>
    <w:rsid w:val="00374954"/>
    <w:rsid w:val="00374F03"/>
    <w:rsid w:val="0037600D"/>
    <w:rsid w:val="003775D9"/>
    <w:rsid w:val="00380B26"/>
    <w:rsid w:val="0038175C"/>
    <w:rsid w:val="00382EB8"/>
    <w:rsid w:val="003832DF"/>
    <w:rsid w:val="00383CB3"/>
    <w:rsid w:val="00386C6D"/>
    <w:rsid w:val="00387448"/>
    <w:rsid w:val="00390C13"/>
    <w:rsid w:val="00392480"/>
    <w:rsid w:val="00392C86"/>
    <w:rsid w:val="00393ECF"/>
    <w:rsid w:val="003956FA"/>
    <w:rsid w:val="003961C8"/>
    <w:rsid w:val="003964AE"/>
    <w:rsid w:val="0039700A"/>
    <w:rsid w:val="003A0B8A"/>
    <w:rsid w:val="003A14F9"/>
    <w:rsid w:val="003A457C"/>
    <w:rsid w:val="003A6D6B"/>
    <w:rsid w:val="003A7179"/>
    <w:rsid w:val="003A773C"/>
    <w:rsid w:val="003A7856"/>
    <w:rsid w:val="003B0A33"/>
    <w:rsid w:val="003B1424"/>
    <w:rsid w:val="003B3B45"/>
    <w:rsid w:val="003B46BD"/>
    <w:rsid w:val="003C0284"/>
    <w:rsid w:val="003C1060"/>
    <w:rsid w:val="003C1AA0"/>
    <w:rsid w:val="003C5133"/>
    <w:rsid w:val="003D036B"/>
    <w:rsid w:val="003D1DF0"/>
    <w:rsid w:val="003D5C84"/>
    <w:rsid w:val="003D6129"/>
    <w:rsid w:val="003D67EE"/>
    <w:rsid w:val="003D756D"/>
    <w:rsid w:val="003D7946"/>
    <w:rsid w:val="003D79D8"/>
    <w:rsid w:val="003D7BD1"/>
    <w:rsid w:val="003E02AB"/>
    <w:rsid w:val="003E0CA0"/>
    <w:rsid w:val="003E4558"/>
    <w:rsid w:val="003E5051"/>
    <w:rsid w:val="003E5144"/>
    <w:rsid w:val="003F11DF"/>
    <w:rsid w:val="003F1915"/>
    <w:rsid w:val="003F226C"/>
    <w:rsid w:val="003F2442"/>
    <w:rsid w:val="003F253C"/>
    <w:rsid w:val="003F3CDF"/>
    <w:rsid w:val="003F5203"/>
    <w:rsid w:val="003F64AD"/>
    <w:rsid w:val="00400946"/>
    <w:rsid w:val="0040139C"/>
    <w:rsid w:val="00402DB9"/>
    <w:rsid w:val="004057F9"/>
    <w:rsid w:val="004128B2"/>
    <w:rsid w:val="00412B9C"/>
    <w:rsid w:val="004206EB"/>
    <w:rsid w:val="0042103B"/>
    <w:rsid w:val="004242D6"/>
    <w:rsid w:val="00424A7F"/>
    <w:rsid w:val="00424B62"/>
    <w:rsid w:val="004276AA"/>
    <w:rsid w:val="004276CF"/>
    <w:rsid w:val="00430C35"/>
    <w:rsid w:val="00431006"/>
    <w:rsid w:val="00431423"/>
    <w:rsid w:val="0043340C"/>
    <w:rsid w:val="00433B72"/>
    <w:rsid w:val="00433EC1"/>
    <w:rsid w:val="00434565"/>
    <w:rsid w:val="0043498C"/>
    <w:rsid w:val="00435B7F"/>
    <w:rsid w:val="00435F6E"/>
    <w:rsid w:val="00436ECD"/>
    <w:rsid w:val="004378A7"/>
    <w:rsid w:val="00440109"/>
    <w:rsid w:val="00440364"/>
    <w:rsid w:val="0044066C"/>
    <w:rsid w:val="004422B9"/>
    <w:rsid w:val="004432B6"/>
    <w:rsid w:val="00445847"/>
    <w:rsid w:val="00446829"/>
    <w:rsid w:val="00447214"/>
    <w:rsid w:val="0044730C"/>
    <w:rsid w:val="00451382"/>
    <w:rsid w:val="004540E7"/>
    <w:rsid w:val="00455D26"/>
    <w:rsid w:val="00457C53"/>
    <w:rsid w:val="00457DDF"/>
    <w:rsid w:val="0046054C"/>
    <w:rsid w:val="004616D8"/>
    <w:rsid w:val="0046339A"/>
    <w:rsid w:val="00466049"/>
    <w:rsid w:val="0046754A"/>
    <w:rsid w:val="00473650"/>
    <w:rsid w:val="00473795"/>
    <w:rsid w:val="0047380B"/>
    <w:rsid w:val="00474103"/>
    <w:rsid w:val="004763EC"/>
    <w:rsid w:val="004767ED"/>
    <w:rsid w:val="00476F5E"/>
    <w:rsid w:val="00481891"/>
    <w:rsid w:val="00482448"/>
    <w:rsid w:val="00482D85"/>
    <w:rsid w:val="00483805"/>
    <w:rsid w:val="00486B48"/>
    <w:rsid w:val="00487F5B"/>
    <w:rsid w:val="00490B25"/>
    <w:rsid w:val="004A331D"/>
    <w:rsid w:val="004A73CC"/>
    <w:rsid w:val="004A75CD"/>
    <w:rsid w:val="004A7E67"/>
    <w:rsid w:val="004A7EFE"/>
    <w:rsid w:val="004B0788"/>
    <w:rsid w:val="004B4114"/>
    <w:rsid w:val="004B5840"/>
    <w:rsid w:val="004C1BD0"/>
    <w:rsid w:val="004C3AF1"/>
    <w:rsid w:val="004C3B23"/>
    <w:rsid w:val="004C67A0"/>
    <w:rsid w:val="004C683E"/>
    <w:rsid w:val="004C7655"/>
    <w:rsid w:val="004D1AF5"/>
    <w:rsid w:val="004D40B3"/>
    <w:rsid w:val="004D6AD8"/>
    <w:rsid w:val="004D7C5B"/>
    <w:rsid w:val="004E1DC1"/>
    <w:rsid w:val="004F104C"/>
    <w:rsid w:val="00500343"/>
    <w:rsid w:val="005007DC"/>
    <w:rsid w:val="00500BFC"/>
    <w:rsid w:val="00501AEF"/>
    <w:rsid w:val="00512D29"/>
    <w:rsid w:val="00513CAA"/>
    <w:rsid w:val="00513CEC"/>
    <w:rsid w:val="00513F34"/>
    <w:rsid w:val="0051418E"/>
    <w:rsid w:val="00514A39"/>
    <w:rsid w:val="00514B9D"/>
    <w:rsid w:val="00514BDC"/>
    <w:rsid w:val="00515072"/>
    <w:rsid w:val="00517E85"/>
    <w:rsid w:val="00520FE1"/>
    <w:rsid w:val="00521C67"/>
    <w:rsid w:val="005262B2"/>
    <w:rsid w:val="005269C2"/>
    <w:rsid w:val="00531C26"/>
    <w:rsid w:val="00534694"/>
    <w:rsid w:val="005354FA"/>
    <w:rsid w:val="00537495"/>
    <w:rsid w:val="00540E0B"/>
    <w:rsid w:val="0054294F"/>
    <w:rsid w:val="0054373D"/>
    <w:rsid w:val="00543B5D"/>
    <w:rsid w:val="00550EE3"/>
    <w:rsid w:val="0055129A"/>
    <w:rsid w:val="00551B3D"/>
    <w:rsid w:val="0055659E"/>
    <w:rsid w:val="00557A7B"/>
    <w:rsid w:val="00557B0B"/>
    <w:rsid w:val="00560592"/>
    <w:rsid w:val="00561060"/>
    <w:rsid w:val="0056344B"/>
    <w:rsid w:val="00563915"/>
    <w:rsid w:val="00563E5F"/>
    <w:rsid w:val="00566754"/>
    <w:rsid w:val="00566D98"/>
    <w:rsid w:val="00566FCA"/>
    <w:rsid w:val="00570423"/>
    <w:rsid w:val="00576D47"/>
    <w:rsid w:val="00577B34"/>
    <w:rsid w:val="00581F63"/>
    <w:rsid w:val="00581FEE"/>
    <w:rsid w:val="00583D6E"/>
    <w:rsid w:val="0058449E"/>
    <w:rsid w:val="00586280"/>
    <w:rsid w:val="00586CDA"/>
    <w:rsid w:val="0058735B"/>
    <w:rsid w:val="00591D61"/>
    <w:rsid w:val="00592DE0"/>
    <w:rsid w:val="00593627"/>
    <w:rsid w:val="00594601"/>
    <w:rsid w:val="005974AA"/>
    <w:rsid w:val="005979DF"/>
    <w:rsid w:val="00597CB1"/>
    <w:rsid w:val="00597FC1"/>
    <w:rsid w:val="005A033D"/>
    <w:rsid w:val="005A10B9"/>
    <w:rsid w:val="005A1903"/>
    <w:rsid w:val="005A3A9F"/>
    <w:rsid w:val="005B139D"/>
    <w:rsid w:val="005B2282"/>
    <w:rsid w:val="005B3706"/>
    <w:rsid w:val="005B697F"/>
    <w:rsid w:val="005C59E9"/>
    <w:rsid w:val="005C788E"/>
    <w:rsid w:val="005D2134"/>
    <w:rsid w:val="005D38FD"/>
    <w:rsid w:val="005D3A94"/>
    <w:rsid w:val="005D495A"/>
    <w:rsid w:val="005D5F5A"/>
    <w:rsid w:val="005E32F3"/>
    <w:rsid w:val="005E4A01"/>
    <w:rsid w:val="005F26BE"/>
    <w:rsid w:val="005F4B53"/>
    <w:rsid w:val="005F5742"/>
    <w:rsid w:val="005F6883"/>
    <w:rsid w:val="005F722F"/>
    <w:rsid w:val="005F7483"/>
    <w:rsid w:val="0060070F"/>
    <w:rsid w:val="00603B19"/>
    <w:rsid w:val="00611E4C"/>
    <w:rsid w:val="00612E35"/>
    <w:rsid w:val="00615462"/>
    <w:rsid w:val="006171A2"/>
    <w:rsid w:val="0061720C"/>
    <w:rsid w:val="00620360"/>
    <w:rsid w:val="006221B8"/>
    <w:rsid w:val="0062455C"/>
    <w:rsid w:val="006252FE"/>
    <w:rsid w:val="006258BF"/>
    <w:rsid w:val="00626C6B"/>
    <w:rsid w:val="00627355"/>
    <w:rsid w:val="006302AF"/>
    <w:rsid w:val="006310C4"/>
    <w:rsid w:val="006349EF"/>
    <w:rsid w:val="0063586A"/>
    <w:rsid w:val="00636018"/>
    <w:rsid w:val="00636872"/>
    <w:rsid w:val="00637894"/>
    <w:rsid w:val="00637FF0"/>
    <w:rsid w:val="0064110E"/>
    <w:rsid w:val="00641154"/>
    <w:rsid w:val="006411BD"/>
    <w:rsid w:val="00641620"/>
    <w:rsid w:val="00643565"/>
    <w:rsid w:val="00644F5A"/>
    <w:rsid w:val="006453FB"/>
    <w:rsid w:val="00646957"/>
    <w:rsid w:val="00646C83"/>
    <w:rsid w:val="00652272"/>
    <w:rsid w:val="006522CC"/>
    <w:rsid w:val="0065292A"/>
    <w:rsid w:val="00654375"/>
    <w:rsid w:val="00655DE8"/>
    <w:rsid w:val="00655E06"/>
    <w:rsid w:val="00657499"/>
    <w:rsid w:val="00660298"/>
    <w:rsid w:val="006605C1"/>
    <w:rsid w:val="006626FD"/>
    <w:rsid w:val="006658D7"/>
    <w:rsid w:val="00665D30"/>
    <w:rsid w:val="006664D3"/>
    <w:rsid w:val="0066657E"/>
    <w:rsid w:val="00674928"/>
    <w:rsid w:val="00674DAA"/>
    <w:rsid w:val="006778F0"/>
    <w:rsid w:val="00683141"/>
    <w:rsid w:val="006842A0"/>
    <w:rsid w:val="006843BF"/>
    <w:rsid w:val="00687C13"/>
    <w:rsid w:val="00692CA6"/>
    <w:rsid w:val="006945AC"/>
    <w:rsid w:val="0069575C"/>
    <w:rsid w:val="006A2EEE"/>
    <w:rsid w:val="006A5FD5"/>
    <w:rsid w:val="006B2996"/>
    <w:rsid w:val="006B3949"/>
    <w:rsid w:val="006B5BD3"/>
    <w:rsid w:val="006B5C7B"/>
    <w:rsid w:val="006B6E23"/>
    <w:rsid w:val="006C08B1"/>
    <w:rsid w:val="006C1D55"/>
    <w:rsid w:val="006C2369"/>
    <w:rsid w:val="006C2CF7"/>
    <w:rsid w:val="006D038B"/>
    <w:rsid w:val="006D0CCF"/>
    <w:rsid w:val="006D1A01"/>
    <w:rsid w:val="006D2155"/>
    <w:rsid w:val="006D2801"/>
    <w:rsid w:val="006D282F"/>
    <w:rsid w:val="006D2F0B"/>
    <w:rsid w:val="006D36ED"/>
    <w:rsid w:val="006D5195"/>
    <w:rsid w:val="006D5E67"/>
    <w:rsid w:val="006E07D1"/>
    <w:rsid w:val="006E4DC1"/>
    <w:rsid w:val="006E568B"/>
    <w:rsid w:val="006E623D"/>
    <w:rsid w:val="006E7513"/>
    <w:rsid w:val="006F0456"/>
    <w:rsid w:val="006F0780"/>
    <w:rsid w:val="006F3E70"/>
    <w:rsid w:val="006F4645"/>
    <w:rsid w:val="006F578D"/>
    <w:rsid w:val="006F5795"/>
    <w:rsid w:val="006F5E64"/>
    <w:rsid w:val="006F6D85"/>
    <w:rsid w:val="006F776C"/>
    <w:rsid w:val="006F78DE"/>
    <w:rsid w:val="006F7B00"/>
    <w:rsid w:val="007049F9"/>
    <w:rsid w:val="00706DB2"/>
    <w:rsid w:val="0070706E"/>
    <w:rsid w:val="00707BAF"/>
    <w:rsid w:val="00711F66"/>
    <w:rsid w:val="00712EAF"/>
    <w:rsid w:val="00715E24"/>
    <w:rsid w:val="0072027D"/>
    <w:rsid w:val="007213EE"/>
    <w:rsid w:val="00721623"/>
    <w:rsid w:val="00723E29"/>
    <w:rsid w:val="0073054B"/>
    <w:rsid w:val="00735EEE"/>
    <w:rsid w:val="007407FD"/>
    <w:rsid w:val="00742756"/>
    <w:rsid w:val="00742DCB"/>
    <w:rsid w:val="007445F8"/>
    <w:rsid w:val="00745EA8"/>
    <w:rsid w:val="0074659C"/>
    <w:rsid w:val="00747B05"/>
    <w:rsid w:val="00747FFB"/>
    <w:rsid w:val="00750030"/>
    <w:rsid w:val="00750ABB"/>
    <w:rsid w:val="00756ACD"/>
    <w:rsid w:val="00760070"/>
    <w:rsid w:val="00762162"/>
    <w:rsid w:val="00763910"/>
    <w:rsid w:val="00764543"/>
    <w:rsid w:val="00764D0C"/>
    <w:rsid w:val="00764D5C"/>
    <w:rsid w:val="007669BD"/>
    <w:rsid w:val="00767D5F"/>
    <w:rsid w:val="00771A11"/>
    <w:rsid w:val="007721F3"/>
    <w:rsid w:val="007728DB"/>
    <w:rsid w:val="00774A5E"/>
    <w:rsid w:val="007760C0"/>
    <w:rsid w:val="00776EBC"/>
    <w:rsid w:val="00780ADF"/>
    <w:rsid w:val="00780F55"/>
    <w:rsid w:val="0078157D"/>
    <w:rsid w:val="007817DA"/>
    <w:rsid w:val="0078332F"/>
    <w:rsid w:val="00783C09"/>
    <w:rsid w:val="00783F92"/>
    <w:rsid w:val="0078494E"/>
    <w:rsid w:val="00784955"/>
    <w:rsid w:val="007852A7"/>
    <w:rsid w:val="00785A92"/>
    <w:rsid w:val="007866BA"/>
    <w:rsid w:val="00787F68"/>
    <w:rsid w:val="0079057E"/>
    <w:rsid w:val="00791D13"/>
    <w:rsid w:val="00792B95"/>
    <w:rsid w:val="00794C40"/>
    <w:rsid w:val="00794FB3"/>
    <w:rsid w:val="00796F23"/>
    <w:rsid w:val="007974AE"/>
    <w:rsid w:val="007A0474"/>
    <w:rsid w:val="007A0E1E"/>
    <w:rsid w:val="007A12FF"/>
    <w:rsid w:val="007A3265"/>
    <w:rsid w:val="007A440D"/>
    <w:rsid w:val="007A4D69"/>
    <w:rsid w:val="007A5275"/>
    <w:rsid w:val="007A59AE"/>
    <w:rsid w:val="007B1183"/>
    <w:rsid w:val="007B12EB"/>
    <w:rsid w:val="007B138E"/>
    <w:rsid w:val="007B4B13"/>
    <w:rsid w:val="007B4FB0"/>
    <w:rsid w:val="007B6437"/>
    <w:rsid w:val="007B7E12"/>
    <w:rsid w:val="007C0270"/>
    <w:rsid w:val="007C03BA"/>
    <w:rsid w:val="007C4428"/>
    <w:rsid w:val="007C5722"/>
    <w:rsid w:val="007C62BE"/>
    <w:rsid w:val="007C62D1"/>
    <w:rsid w:val="007D2003"/>
    <w:rsid w:val="007E13DF"/>
    <w:rsid w:val="007E3874"/>
    <w:rsid w:val="007E5383"/>
    <w:rsid w:val="007E5CFA"/>
    <w:rsid w:val="007F192B"/>
    <w:rsid w:val="007F491B"/>
    <w:rsid w:val="007F5C0E"/>
    <w:rsid w:val="007F7C0A"/>
    <w:rsid w:val="00802B39"/>
    <w:rsid w:val="00805A82"/>
    <w:rsid w:val="008064C8"/>
    <w:rsid w:val="00811988"/>
    <w:rsid w:val="008141C1"/>
    <w:rsid w:val="008155E5"/>
    <w:rsid w:val="00815C98"/>
    <w:rsid w:val="00815EF7"/>
    <w:rsid w:val="00816AF8"/>
    <w:rsid w:val="00816D8B"/>
    <w:rsid w:val="0082228F"/>
    <w:rsid w:val="00822EB6"/>
    <w:rsid w:val="0082514D"/>
    <w:rsid w:val="00826B72"/>
    <w:rsid w:val="00830C4B"/>
    <w:rsid w:val="00831796"/>
    <w:rsid w:val="00831BAD"/>
    <w:rsid w:val="0083628B"/>
    <w:rsid w:val="008363CC"/>
    <w:rsid w:val="00837037"/>
    <w:rsid w:val="00840B94"/>
    <w:rsid w:val="008448B9"/>
    <w:rsid w:val="00844BFD"/>
    <w:rsid w:val="00845D27"/>
    <w:rsid w:val="00852A1E"/>
    <w:rsid w:val="00853E10"/>
    <w:rsid w:val="00853EE8"/>
    <w:rsid w:val="008546FD"/>
    <w:rsid w:val="00860A7C"/>
    <w:rsid w:val="00864CE2"/>
    <w:rsid w:val="00872B57"/>
    <w:rsid w:val="008763A7"/>
    <w:rsid w:val="00876477"/>
    <w:rsid w:val="00876E9E"/>
    <w:rsid w:val="00882A4C"/>
    <w:rsid w:val="0088773B"/>
    <w:rsid w:val="008919FD"/>
    <w:rsid w:val="008929F3"/>
    <w:rsid w:val="008953B0"/>
    <w:rsid w:val="008958F5"/>
    <w:rsid w:val="00897019"/>
    <w:rsid w:val="008972D2"/>
    <w:rsid w:val="00897A8E"/>
    <w:rsid w:val="008A0964"/>
    <w:rsid w:val="008A0CC5"/>
    <w:rsid w:val="008A103B"/>
    <w:rsid w:val="008A2360"/>
    <w:rsid w:val="008A29B7"/>
    <w:rsid w:val="008A3661"/>
    <w:rsid w:val="008A36DB"/>
    <w:rsid w:val="008A782F"/>
    <w:rsid w:val="008B00F9"/>
    <w:rsid w:val="008C16B9"/>
    <w:rsid w:val="008C1CF5"/>
    <w:rsid w:val="008C2423"/>
    <w:rsid w:val="008D35F7"/>
    <w:rsid w:val="008D6852"/>
    <w:rsid w:val="008E2F72"/>
    <w:rsid w:val="008E3726"/>
    <w:rsid w:val="008E3E2E"/>
    <w:rsid w:val="008E55BE"/>
    <w:rsid w:val="008E59EE"/>
    <w:rsid w:val="008E5A1C"/>
    <w:rsid w:val="008E7308"/>
    <w:rsid w:val="008E7AF0"/>
    <w:rsid w:val="008F174B"/>
    <w:rsid w:val="008F27C7"/>
    <w:rsid w:val="008F34B4"/>
    <w:rsid w:val="008F40D7"/>
    <w:rsid w:val="008F476E"/>
    <w:rsid w:val="008F4874"/>
    <w:rsid w:val="008F5142"/>
    <w:rsid w:val="00900ADB"/>
    <w:rsid w:val="00900C30"/>
    <w:rsid w:val="009018F8"/>
    <w:rsid w:val="0090192C"/>
    <w:rsid w:val="009026C5"/>
    <w:rsid w:val="00902CFB"/>
    <w:rsid w:val="0090311D"/>
    <w:rsid w:val="009034FD"/>
    <w:rsid w:val="00903FE7"/>
    <w:rsid w:val="00906B07"/>
    <w:rsid w:val="00910364"/>
    <w:rsid w:val="00910901"/>
    <w:rsid w:val="00910BE0"/>
    <w:rsid w:val="00911ACB"/>
    <w:rsid w:val="009121C0"/>
    <w:rsid w:val="009139AF"/>
    <w:rsid w:val="00913AF7"/>
    <w:rsid w:val="00914B98"/>
    <w:rsid w:val="009150A3"/>
    <w:rsid w:val="009151B8"/>
    <w:rsid w:val="009168D0"/>
    <w:rsid w:val="0091736E"/>
    <w:rsid w:val="00921B80"/>
    <w:rsid w:val="00921F64"/>
    <w:rsid w:val="00922CEC"/>
    <w:rsid w:val="00925FEB"/>
    <w:rsid w:val="009265D9"/>
    <w:rsid w:val="00926925"/>
    <w:rsid w:val="009279A2"/>
    <w:rsid w:val="00931809"/>
    <w:rsid w:val="009322E7"/>
    <w:rsid w:val="00932466"/>
    <w:rsid w:val="009339A5"/>
    <w:rsid w:val="0093419F"/>
    <w:rsid w:val="00935923"/>
    <w:rsid w:val="00936068"/>
    <w:rsid w:val="00941058"/>
    <w:rsid w:val="00941327"/>
    <w:rsid w:val="009420A6"/>
    <w:rsid w:val="009420C0"/>
    <w:rsid w:val="009426EE"/>
    <w:rsid w:val="009432F5"/>
    <w:rsid w:val="00945E37"/>
    <w:rsid w:val="00946C1F"/>
    <w:rsid w:val="00950A9F"/>
    <w:rsid w:val="0095287A"/>
    <w:rsid w:val="0095553E"/>
    <w:rsid w:val="00955DA5"/>
    <w:rsid w:val="00962365"/>
    <w:rsid w:val="00964C0B"/>
    <w:rsid w:val="009650C7"/>
    <w:rsid w:val="00967973"/>
    <w:rsid w:val="00971F77"/>
    <w:rsid w:val="009744B9"/>
    <w:rsid w:val="00974E96"/>
    <w:rsid w:val="009762ED"/>
    <w:rsid w:val="009769F5"/>
    <w:rsid w:val="00977BA6"/>
    <w:rsid w:val="009816C2"/>
    <w:rsid w:val="00981BAE"/>
    <w:rsid w:val="009831C2"/>
    <w:rsid w:val="009842F6"/>
    <w:rsid w:val="0098481D"/>
    <w:rsid w:val="009867EB"/>
    <w:rsid w:val="009914AF"/>
    <w:rsid w:val="00992AA1"/>
    <w:rsid w:val="0099690D"/>
    <w:rsid w:val="009A07CC"/>
    <w:rsid w:val="009A20DC"/>
    <w:rsid w:val="009A2D29"/>
    <w:rsid w:val="009A3422"/>
    <w:rsid w:val="009A3A18"/>
    <w:rsid w:val="009A4613"/>
    <w:rsid w:val="009A4CEB"/>
    <w:rsid w:val="009A5339"/>
    <w:rsid w:val="009A6BC9"/>
    <w:rsid w:val="009B0D2F"/>
    <w:rsid w:val="009B0F19"/>
    <w:rsid w:val="009B2DBD"/>
    <w:rsid w:val="009B3554"/>
    <w:rsid w:val="009B4676"/>
    <w:rsid w:val="009B7B00"/>
    <w:rsid w:val="009C0D49"/>
    <w:rsid w:val="009C0E3D"/>
    <w:rsid w:val="009C4B55"/>
    <w:rsid w:val="009D04DE"/>
    <w:rsid w:val="009D102A"/>
    <w:rsid w:val="009D1974"/>
    <w:rsid w:val="009D3555"/>
    <w:rsid w:val="009D656A"/>
    <w:rsid w:val="009E3217"/>
    <w:rsid w:val="009E3B5E"/>
    <w:rsid w:val="009E4237"/>
    <w:rsid w:val="009E55FB"/>
    <w:rsid w:val="009E6631"/>
    <w:rsid w:val="009E72B2"/>
    <w:rsid w:val="009E7D34"/>
    <w:rsid w:val="009F0569"/>
    <w:rsid w:val="009F149F"/>
    <w:rsid w:val="009F50D1"/>
    <w:rsid w:val="009F7238"/>
    <w:rsid w:val="00A0306D"/>
    <w:rsid w:val="00A03247"/>
    <w:rsid w:val="00A03B6D"/>
    <w:rsid w:val="00A05915"/>
    <w:rsid w:val="00A05B47"/>
    <w:rsid w:val="00A104D4"/>
    <w:rsid w:val="00A11271"/>
    <w:rsid w:val="00A11DE4"/>
    <w:rsid w:val="00A126EA"/>
    <w:rsid w:val="00A13595"/>
    <w:rsid w:val="00A141A2"/>
    <w:rsid w:val="00A1497A"/>
    <w:rsid w:val="00A15FC6"/>
    <w:rsid w:val="00A20650"/>
    <w:rsid w:val="00A233DA"/>
    <w:rsid w:val="00A24C4B"/>
    <w:rsid w:val="00A270B9"/>
    <w:rsid w:val="00A27845"/>
    <w:rsid w:val="00A3042A"/>
    <w:rsid w:val="00A35D37"/>
    <w:rsid w:val="00A362EA"/>
    <w:rsid w:val="00A3647F"/>
    <w:rsid w:val="00A376EB"/>
    <w:rsid w:val="00A37FCE"/>
    <w:rsid w:val="00A41560"/>
    <w:rsid w:val="00A44294"/>
    <w:rsid w:val="00A447A8"/>
    <w:rsid w:val="00A4490D"/>
    <w:rsid w:val="00A4657F"/>
    <w:rsid w:val="00A47A5B"/>
    <w:rsid w:val="00A51760"/>
    <w:rsid w:val="00A51A29"/>
    <w:rsid w:val="00A52F00"/>
    <w:rsid w:val="00A542CB"/>
    <w:rsid w:val="00A54682"/>
    <w:rsid w:val="00A54F65"/>
    <w:rsid w:val="00A55073"/>
    <w:rsid w:val="00A55D65"/>
    <w:rsid w:val="00A56CFD"/>
    <w:rsid w:val="00A5729B"/>
    <w:rsid w:val="00A57FC6"/>
    <w:rsid w:val="00A60989"/>
    <w:rsid w:val="00A617FB"/>
    <w:rsid w:val="00A619CE"/>
    <w:rsid w:val="00A63762"/>
    <w:rsid w:val="00A66276"/>
    <w:rsid w:val="00A66837"/>
    <w:rsid w:val="00A70112"/>
    <w:rsid w:val="00A7039E"/>
    <w:rsid w:val="00A7045A"/>
    <w:rsid w:val="00A72C6E"/>
    <w:rsid w:val="00A73C52"/>
    <w:rsid w:val="00A73D6B"/>
    <w:rsid w:val="00A7479C"/>
    <w:rsid w:val="00A74AE5"/>
    <w:rsid w:val="00A768B9"/>
    <w:rsid w:val="00A841EB"/>
    <w:rsid w:val="00A85987"/>
    <w:rsid w:val="00A86012"/>
    <w:rsid w:val="00A867C9"/>
    <w:rsid w:val="00A91981"/>
    <w:rsid w:val="00A91A4F"/>
    <w:rsid w:val="00A91BB0"/>
    <w:rsid w:val="00A91C5D"/>
    <w:rsid w:val="00AB23C1"/>
    <w:rsid w:val="00AB5292"/>
    <w:rsid w:val="00AB59D9"/>
    <w:rsid w:val="00AB69B7"/>
    <w:rsid w:val="00AB7239"/>
    <w:rsid w:val="00AC206F"/>
    <w:rsid w:val="00AC7273"/>
    <w:rsid w:val="00AD0F9C"/>
    <w:rsid w:val="00AD1254"/>
    <w:rsid w:val="00AD36C1"/>
    <w:rsid w:val="00AD5108"/>
    <w:rsid w:val="00AD5D20"/>
    <w:rsid w:val="00AD7BF9"/>
    <w:rsid w:val="00AE07BE"/>
    <w:rsid w:val="00AF0B4B"/>
    <w:rsid w:val="00AF10C1"/>
    <w:rsid w:val="00AF1E2C"/>
    <w:rsid w:val="00AF2DF2"/>
    <w:rsid w:val="00AF34E2"/>
    <w:rsid w:val="00AF36CF"/>
    <w:rsid w:val="00AF41C7"/>
    <w:rsid w:val="00AF47DC"/>
    <w:rsid w:val="00AF6082"/>
    <w:rsid w:val="00AF6EE5"/>
    <w:rsid w:val="00AF7A2B"/>
    <w:rsid w:val="00B0505D"/>
    <w:rsid w:val="00B05B48"/>
    <w:rsid w:val="00B07BFE"/>
    <w:rsid w:val="00B10E6B"/>
    <w:rsid w:val="00B10E95"/>
    <w:rsid w:val="00B11B81"/>
    <w:rsid w:val="00B127D2"/>
    <w:rsid w:val="00B205B9"/>
    <w:rsid w:val="00B20C21"/>
    <w:rsid w:val="00B21A56"/>
    <w:rsid w:val="00B21ABA"/>
    <w:rsid w:val="00B22C4E"/>
    <w:rsid w:val="00B22FB2"/>
    <w:rsid w:val="00B23BF7"/>
    <w:rsid w:val="00B24CCC"/>
    <w:rsid w:val="00B26DDA"/>
    <w:rsid w:val="00B31451"/>
    <w:rsid w:val="00B321DD"/>
    <w:rsid w:val="00B3279B"/>
    <w:rsid w:val="00B32E1C"/>
    <w:rsid w:val="00B34491"/>
    <w:rsid w:val="00B35E68"/>
    <w:rsid w:val="00B370D6"/>
    <w:rsid w:val="00B415CF"/>
    <w:rsid w:val="00B42456"/>
    <w:rsid w:val="00B42604"/>
    <w:rsid w:val="00B42ACF"/>
    <w:rsid w:val="00B441D9"/>
    <w:rsid w:val="00B44867"/>
    <w:rsid w:val="00B44D4D"/>
    <w:rsid w:val="00B468F5"/>
    <w:rsid w:val="00B4775D"/>
    <w:rsid w:val="00B47E90"/>
    <w:rsid w:val="00B5004E"/>
    <w:rsid w:val="00B50AAA"/>
    <w:rsid w:val="00B51D9C"/>
    <w:rsid w:val="00B5303B"/>
    <w:rsid w:val="00B54319"/>
    <w:rsid w:val="00B54790"/>
    <w:rsid w:val="00B559DF"/>
    <w:rsid w:val="00B56AE8"/>
    <w:rsid w:val="00B6015F"/>
    <w:rsid w:val="00B60A7E"/>
    <w:rsid w:val="00B60CC2"/>
    <w:rsid w:val="00B60DE5"/>
    <w:rsid w:val="00B620BC"/>
    <w:rsid w:val="00B63844"/>
    <w:rsid w:val="00B665D3"/>
    <w:rsid w:val="00B676B4"/>
    <w:rsid w:val="00B71DF0"/>
    <w:rsid w:val="00B74609"/>
    <w:rsid w:val="00B75C0C"/>
    <w:rsid w:val="00B76770"/>
    <w:rsid w:val="00B82308"/>
    <w:rsid w:val="00B83E90"/>
    <w:rsid w:val="00B8431E"/>
    <w:rsid w:val="00B85F3D"/>
    <w:rsid w:val="00B90A2F"/>
    <w:rsid w:val="00B91C3D"/>
    <w:rsid w:val="00B92ED5"/>
    <w:rsid w:val="00B93255"/>
    <w:rsid w:val="00B94462"/>
    <w:rsid w:val="00B951A5"/>
    <w:rsid w:val="00B95234"/>
    <w:rsid w:val="00B95C2E"/>
    <w:rsid w:val="00B965D8"/>
    <w:rsid w:val="00B96886"/>
    <w:rsid w:val="00B96E69"/>
    <w:rsid w:val="00BA0085"/>
    <w:rsid w:val="00BA0933"/>
    <w:rsid w:val="00BA0D9D"/>
    <w:rsid w:val="00BA0E20"/>
    <w:rsid w:val="00BA2BF4"/>
    <w:rsid w:val="00BA2DC9"/>
    <w:rsid w:val="00BA480F"/>
    <w:rsid w:val="00BA54CA"/>
    <w:rsid w:val="00BA5DAF"/>
    <w:rsid w:val="00BA5F29"/>
    <w:rsid w:val="00BA7F5C"/>
    <w:rsid w:val="00BB0A09"/>
    <w:rsid w:val="00BB1CC2"/>
    <w:rsid w:val="00BB3044"/>
    <w:rsid w:val="00BB3C00"/>
    <w:rsid w:val="00BB7EAF"/>
    <w:rsid w:val="00BC06FC"/>
    <w:rsid w:val="00BC4CBB"/>
    <w:rsid w:val="00BC525D"/>
    <w:rsid w:val="00BD029F"/>
    <w:rsid w:val="00BD2711"/>
    <w:rsid w:val="00BD30AB"/>
    <w:rsid w:val="00BD71DA"/>
    <w:rsid w:val="00BE038D"/>
    <w:rsid w:val="00BE15B4"/>
    <w:rsid w:val="00BE16E3"/>
    <w:rsid w:val="00BE1EA4"/>
    <w:rsid w:val="00BE1F4A"/>
    <w:rsid w:val="00BE1FF0"/>
    <w:rsid w:val="00BE2A75"/>
    <w:rsid w:val="00BE7F71"/>
    <w:rsid w:val="00BF3FA1"/>
    <w:rsid w:val="00BF5C86"/>
    <w:rsid w:val="00BF630A"/>
    <w:rsid w:val="00BF7F86"/>
    <w:rsid w:val="00C0134B"/>
    <w:rsid w:val="00C041B4"/>
    <w:rsid w:val="00C04F11"/>
    <w:rsid w:val="00C06B98"/>
    <w:rsid w:val="00C10610"/>
    <w:rsid w:val="00C11687"/>
    <w:rsid w:val="00C12C4C"/>
    <w:rsid w:val="00C14789"/>
    <w:rsid w:val="00C14EA3"/>
    <w:rsid w:val="00C1592E"/>
    <w:rsid w:val="00C15CC3"/>
    <w:rsid w:val="00C20C25"/>
    <w:rsid w:val="00C23549"/>
    <w:rsid w:val="00C23C3E"/>
    <w:rsid w:val="00C27388"/>
    <w:rsid w:val="00C3060A"/>
    <w:rsid w:val="00C310CB"/>
    <w:rsid w:val="00C3181A"/>
    <w:rsid w:val="00C333B8"/>
    <w:rsid w:val="00C33CFD"/>
    <w:rsid w:val="00C375C5"/>
    <w:rsid w:val="00C40DB1"/>
    <w:rsid w:val="00C40EA6"/>
    <w:rsid w:val="00C41FC4"/>
    <w:rsid w:val="00C42FF0"/>
    <w:rsid w:val="00C45574"/>
    <w:rsid w:val="00C50B23"/>
    <w:rsid w:val="00C5114E"/>
    <w:rsid w:val="00C5185C"/>
    <w:rsid w:val="00C53106"/>
    <w:rsid w:val="00C5338A"/>
    <w:rsid w:val="00C53A8A"/>
    <w:rsid w:val="00C54E5B"/>
    <w:rsid w:val="00C56824"/>
    <w:rsid w:val="00C62712"/>
    <w:rsid w:val="00C6366C"/>
    <w:rsid w:val="00C65100"/>
    <w:rsid w:val="00C67B22"/>
    <w:rsid w:val="00C67DE5"/>
    <w:rsid w:val="00C70302"/>
    <w:rsid w:val="00C70BFF"/>
    <w:rsid w:val="00C73B55"/>
    <w:rsid w:val="00C756A6"/>
    <w:rsid w:val="00C761A7"/>
    <w:rsid w:val="00C77BBE"/>
    <w:rsid w:val="00C82066"/>
    <w:rsid w:val="00C82A25"/>
    <w:rsid w:val="00C8332F"/>
    <w:rsid w:val="00C8574B"/>
    <w:rsid w:val="00C85ABD"/>
    <w:rsid w:val="00C87BB7"/>
    <w:rsid w:val="00C91476"/>
    <w:rsid w:val="00C916F3"/>
    <w:rsid w:val="00C938A6"/>
    <w:rsid w:val="00C96EDB"/>
    <w:rsid w:val="00CA18A0"/>
    <w:rsid w:val="00CA2515"/>
    <w:rsid w:val="00CA4BD8"/>
    <w:rsid w:val="00CA7FAF"/>
    <w:rsid w:val="00CB03A7"/>
    <w:rsid w:val="00CB2A15"/>
    <w:rsid w:val="00CB31D8"/>
    <w:rsid w:val="00CB3E43"/>
    <w:rsid w:val="00CB420A"/>
    <w:rsid w:val="00CB4EB5"/>
    <w:rsid w:val="00CB55A1"/>
    <w:rsid w:val="00CB5901"/>
    <w:rsid w:val="00CB7A4F"/>
    <w:rsid w:val="00CC2452"/>
    <w:rsid w:val="00CC3B48"/>
    <w:rsid w:val="00CC40C1"/>
    <w:rsid w:val="00CC460F"/>
    <w:rsid w:val="00CC51EF"/>
    <w:rsid w:val="00CC58E4"/>
    <w:rsid w:val="00CC71C8"/>
    <w:rsid w:val="00CD0B0B"/>
    <w:rsid w:val="00CD6602"/>
    <w:rsid w:val="00CD6741"/>
    <w:rsid w:val="00CE03C3"/>
    <w:rsid w:val="00CE0887"/>
    <w:rsid w:val="00CE0BF8"/>
    <w:rsid w:val="00CE2924"/>
    <w:rsid w:val="00CE2E21"/>
    <w:rsid w:val="00CE41F0"/>
    <w:rsid w:val="00CE4BBA"/>
    <w:rsid w:val="00CE6638"/>
    <w:rsid w:val="00CE6800"/>
    <w:rsid w:val="00CF0877"/>
    <w:rsid w:val="00CF1D3B"/>
    <w:rsid w:val="00CF2DE3"/>
    <w:rsid w:val="00CF3B3C"/>
    <w:rsid w:val="00CF6730"/>
    <w:rsid w:val="00CF6AEA"/>
    <w:rsid w:val="00CF7396"/>
    <w:rsid w:val="00D0089F"/>
    <w:rsid w:val="00D0402C"/>
    <w:rsid w:val="00D062A5"/>
    <w:rsid w:val="00D068B9"/>
    <w:rsid w:val="00D11ECD"/>
    <w:rsid w:val="00D128B2"/>
    <w:rsid w:val="00D12DD7"/>
    <w:rsid w:val="00D1363F"/>
    <w:rsid w:val="00D14104"/>
    <w:rsid w:val="00D16D18"/>
    <w:rsid w:val="00D17F10"/>
    <w:rsid w:val="00D17FE5"/>
    <w:rsid w:val="00D22EF0"/>
    <w:rsid w:val="00D23130"/>
    <w:rsid w:val="00D241C8"/>
    <w:rsid w:val="00D2458B"/>
    <w:rsid w:val="00D246BD"/>
    <w:rsid w:val="00D27023"/>
    <w:rsid w:val="00D27BDD"/>
    <w:rsid w:val="00D30BA3"/>
    <w:rsid w:val="00D315CF"/>
    <w:rsid w:val="00D31C9D"/>
    <w:rsid w:val="00D329EE"/>
    <w:rsid w:val="00D32EE2"/>
    <w:rsid w:val="00D33246"/>
    <w:rsid w:val="00D33FE8"/>
    <w:rsid w:val="00D3607C"/>
    <w:rsid w:val="00D40B8F"/>
    <w:rsid w:val="00D44DAB"/>
    <w:rsid w:val="00D454C7"/>
    <w:rsid w:val="00D45ED5"/>
    <w:rsid w:val="00D510AE"/>
    <w:rsid w:val="00D512FE"/>
    <w:rsid w:val="00D517D2"/>
    <w:rsid w:val="00D52DC7"/>
    <w:rsid w:val="00D5452A"/>
    <w:rsid w:val="00D556EF"/>
    <w:rsid w:val="00D604EF"/>
    <w:rsid w:val="00D61561"/>
    <w:rsid w:val="00D62A57"/>
    <w:rsid w:val="00D63083"/>
    <w:rsid w:val="00D63B2D"/>
    <w:rsid w:val="00D6619A"/>
    <w:rsid w:val="00D66376"/>
    <w:rsid w:val="00D6659B"/>
    <w:rsid w:val="00D67DAF"/>
    <w:rsid w:val="00D7037A"/>
    <w:rsid w:val="00D70A5C"/>
    <w:rsid w:val="00D7406C"/>
    <w:rsid w:val="00D7412F"/>
    <w:rsid w:val="00D776A8"/>
    <w:rsid w:val="00D825DD"/>
    <w:rsid w:val="00D84667"/>
    <w:rsid w:val="00D911D5"/>
    <w:rsid w:val="00D921A3"/>
    <w:rsid w:val="00D92D5B"/>
    <w:rsid w:val="00D93F51"/>
    <w:rsid w:val="00D93F73"/>
    <w:rsid w:val="00D93FFB"/>
    <w:rsid w:val="00D94019"/>
    <w:rsid w:val="00D940B6"/>
    <w:rsid w:val="00D962C4"/>
    <w:rsid w:val="00D9777D"/>
    <w:rsid w:val="00DA099F"/>
    <w:rsid w:val="00DA173D"/>
    <w:rsid w:val="00DA2839"/>
    <w:rsid w:val="00DA3879"/>
    <w:rsid w:val="00DA3C4A"/>
    <w:rsid w:val="00DA4689"/>
    <w:rsid w:val="00DA59DB"/>
    <w:rsid w:val="00DB00FE"/>
    <w:rsid w:val="00DB03DE"/>
    <w:rsid w:val="00DB2A2D"/>
    <w:rsid w:val="00DB56C6"/>
    <w:rsid w:val="00DB64D1"/>
    <w:rsid w:val="00DC0639"/>
    <w:rsid w:val="00DC0A6E"/>
    <w:rsid w:val="00DC38C5"/>
    <w:rsid w:val="00DC60C4"/>
    <w:rsid w:val="00DC79E5"/>
    <w:rsid w:val="00DD11A8"/>
    <w:rsid w:val="00DD3625"/>
    <w:rsid w:val="00DD4163"/>
    <w:rsid w:val="00DD423B"/>
    <w:rsid w:val="00DD534E"/>
    <w:rsid w:val="00DD5782"/>
    <w:rsid w:val="00DD7F72"/>
    <w:rsid w:val="00DE1509"/>
    <w:rsid w:val="00DE167C"/>
    <w:rsid w:val="00DE1908"/>
    <w:rsid w:val="00DE1C36"/>
    <w:rsid w:val="00DE420B"/>
    <w:rsid w:val="00DF01EA"/>
    <w:rsid w:val="00DF1083"/>
    <w:rsid w:val="00DF1D1B"/>
    <w:rsid w:val="00DF60F8"/>
    <w:rsid w:val="00DF751F"/>
    <w:rsid w:val="00E01AA1"/>
    <w:rsid w:val="00E04150"/>
    <w:rsid w:val="00E05B68"/>
    <w:rsid w:val="00E06568"/>
    <w:rsid w:val="00E0698A"/>
    <w:rsid w:val="00E1065C"/>
    <w:rsid w:val="00E107A3"/>
    <w:rsid w:val="00E113D6"/>
    <w:rsid w:val="00E11819"/>
    <w:rsid w:val="00E11A75"/>
    <w:rsid w:val="00E13B9D"/>
    <w:rsid w:val="00E13C54"/>
    <w:rsid w:val="00E148F9"/>
    <w:rsid w:val="00E152EF"/>
    <w:rsid w:val="00E156C2"/>
    <w:rsid w:val="00E17F95"/>
    <w:rsid w:val="00E21E5E"/>
    <w:rsid w:val="00E225A3"/>
    <w:rsid w:val="00E273DB"/>
    <w:rsid w:val="00E339BD"/>
    <w:rsid w:val="00E34393"/>
    <w:rsid w:val="00E345EF"/>
    <w:rsid w:val="00E36ECD"/>
    <w:rsid w:val="00E37EAF"/>
    <w:rsid w:val="00E441E6"/>
    <w:rsid w:val="00E4514C"/>
    <w:rsid w:val="00E471E7"/>
    <w:rsid w:val="00E47876"/>
    <w:rsid w:val="00E479E7"/>
    <w:rsid w:val="00E50B65"/>
    <w:rsid w:val="00E51CB2"/>
    <w:rsid w:val="00E52964"/>
    <w:rsid w:val="00E5758E"/>
    <w:rsid w:val="00E57A89"/>
    <w:rsid w:val="00E60B71"/>
    <w:rsid w:val="00E616C9"/>
    <w:rsid w:val="00E61FB3"/>
    <w:rsid w:val="00E62695"/>
    <w:rsid w:val="00E62FB5"/>
    <w:rsid w:val="00E64302"/>
    <w:rsid w:val="00E654E9"/>
    <w:rsid w:val="00E67108"/>
    <w:rsid w:val="00E675C1"/>
    <w:rsid w:val="00E67CD4"/>
    <w:rsid w:val="00E701DB"/>
    <w:rsid w:val="00E71A59"/>
    <w:rsid w:val="00E73F00"/>
    <w:rsid w:val="00E73F11"/>
    <w:rsid w:val="00E745C4"/>
    <w:rsid w:val="00E750B2"/>
    <w:rsid w:val="00E7571F"/>
    <w:rsid w:val="00E7683A"/>
    <w:rsid w:val="00E76E55"/>
    <w:rsid w:val="00E77851"/>
    <w:rsid w:val="00E81D61"/>
    <w:rsid w:val="00E83CBD"/>
    <w:rsid w:val="00E849AE"/>
    <w:rsid w:val="00E84C16"/>
    <w:rsid w:val="00E90BF6"/>
    <w:rsid w:val="00E937D4"/>
    <w:rsid w:val="00E94334"/>
    <w:rsid w:val="00E9461D"/>
    <w:rsid w:val="00E96C37"/>
    <w:rsid w:val="00E97837"/>
    <w:rsid w:val="00EA0548"/>
    <w:rsid w:val="00EA16A7"/>
    <w:rsid w:val="00EA1DFB"/>
    <w:rsid w:val="00EA1E0F"/>
    <w:rsid w:val="00EA2769"/>
    <w:rsid w:val="00EB77E1"/>
    <w:rsid w:val="00EC120A"/>
    <w:rsid w:val="00EC15B1"/>
    <w:rsid w:val="00EC2B78"/>
    <w:rsid w:val="00EC2DFF"/>
    <w:rsid w:val="00EC34BF"/>
    <w:rsid w:val="00EC5B6F"/>
    <w:rsid w:val="00EC5C4D"/>
    <w:rsid w:val="00EC6017"/>
    <w:rsid w:val="00ED00B7"/>
    <w:rsid w:val="00ED1286"/>
    <w:rsid w:val="00ED4369"/>
    <w:rsid w:val="00ED4C46"/>
    <w:rsid w:val="00ED52DD"/>
    <w:rsid w:val="00ED74B0"/>
    <w:rsid w:val="00ED7595"/>
    <w:rsid w:val="00EE1506"/>
    <w:rsid w:val="00EE1594"/>
    <w:rsid w:val="00EE2445"/>
    <w:rsid w:val="00EF0DDA"/>
    <w:rsid w:val="00EF6982"/>
    <w:rsid w:val="00F01297"/>
    <w:rsid w:val="00F07253"/>
    <w:rsid w:val="00F07A2F"/>
    <w:rsid w:val="00F11635"/>
    <w:rsid w:val="00F1270F"/>
    <w:rsid w:val="00F12EEC"/>
    <w:rsid w:val="00F13545"/>
    <w:rsid w:val="00F1679F"/>
    <w:rsid w:val="00F177A9"/>
    <w:rsid w:val="00F20229"/>
    <w:rsid w:val="00F21B2A"/>
    <w:rsid w:val="00F22909"/>
    <w:rsid w:val="00F23DFC"/>
    <w:rsid w:val="00F2490B"/>
    <w:rsid w:val="00F3159D"/>
    <w:rsid w:val="00F3451B"/>
    <w:rsid w:val="00F36A41"/>
    <w:rsid w:val="00F412F4"/>
    <w:rsid w:val="00F42057"/>
    <w:rsid w:val="00F42A34"/>
    <w:rsid w:val="00F45060"/>
    <w:rsid w:val="00F46086"/>
    <w:rsid w:val="00F46B7E"/>
    <w:rsid w:val="00F52097"/>
    <w:rsid w:val="00F53161"/>
    <w:rsid w:val="00F53353"/>
    <w:rsid w:val="00F53AA6"/>
    <w:rsid w:val="00F607A4"/>
    <w:rsid w:val="00F60FCF"/>
    <w:rsid w:val="00F619ED"/>
    <w:rsid w:val="00F62854"/>
    <w:rsid w:val="00F63616"/>
    <w:rsid w:val="00F64836"/>
    <w:rsid w:val="00F64B5B"/>
    <w:rsid w:val="00F67260"/>
    <w:rsid w:val="00F709EF"/>
    <w:rsid w:val="00F74684"/>
    <w:rsid w:val="00F7517F"/>
    <w:rsid w:val="00F75543"/>
    <w:rsid w:val="00F765DA"/>
    <w:rsid w:val="00F77048"/>
    <w:rsid w:val="00F80DE8"/>
    <w:rsid w:val="00F8126E"/>
    <w:rsid w:val="00F84252"/>
    <w:rsid w:val="00F845FF"/>
    <w:rsid w:val="00F86BAC"/>
    <w:rsid w:val="00F93BB0"/>
    <w:rsid w:val="00F959B8"/>
    <w:rsid w:val="00F95FB4"/>
    <w:rsid w:val="00F9620C"/>
    <w:rsid w:val="00FA6103"/>
    <w:rsid w:val="00FA658A"/>
    <w:rsid w:val="00FA7A69"/>
    <w:rsid w:val="00FB3566"/>
    <w:rsid w:val="00FB3D04"/>
    <w:rsid w:val="00FB62EC"/>
    <w:rsid w:val="00FC24B9"/>
    <w:rsid w:val="00FC2F35"/>
    <w:rsid w:val="00FD181E"/>
    <w:rsid w:val="00FE2184"/>
    <w:rsid w:val="00FE680B"/>
    <w:rsid w:val="00FE690A"/>
    <w:rsid w:val="00FE7A7D"/>
    <w:rsid w:val="00FE7AB8"/>
    <w:rsid w:val="00FF1724"/>
    <w:rsid w:val="00FF2143"/>
    <w:rsid w:val="00FF44D6"/>
    <w:rsid w:val="00FF580C"/>
    <w:rsid w:val="00FF64AF"/>
    <w:rsid w:val="00FF68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DC56F08"/>
  <w15:docId w15:val="{B4634392-0274-4C71-86EC-2BA20322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3DF"/>
    <w:rPr>
      <w:sz w:val="24"/>
      <w:szCs w:val="24"/>
    </w:rPr>
  </w:style>
  <w:style w:type="paragraph" w:styleId="Overskrift1">
    <w:name w:val="heading 1"/>
    <w:basedOn w:val="Normal"/>
    <w:next w:val="Normal"/>
    <w:link w:val="Overskrift1Tegn"/>
    <w:qFormat/>
    <w:rsid w:val="004C1BD0"/>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4C1BD0"/>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4C1BD0"/>
    <w:pPr>
      <w:keepNext/>
      <w:spacing w:before="240" w:after="60"/>
      <w:outlineLvl w:val="2"/>
    </w:pPr>
    <w:rPr>
      <w:rFonts w:ascii="Arial" w:hAnsi="Arial" w:cs="Arial"/>
      <w:b/>
      <w:bCs/>
      <w:sz w:val="26"/>
      <w:szCs w:val="26"/>
    </w:rPr>
  </w:style>
  <w:style w:type="paragraph" w:styleId="Overskrift4">
    <w:name w:val="heading 4"/>
    <w:basedOn w:val="Normal"/>
    <w:next w:val="Normal"/>
    <w:qFormat/>
    <w:rsid w:val="003D036B"/>
    <w:pPr>
      <w:keepNext/>
      <w:spacing w:before="60"/>
      <w:outlineLvl w:val="3"/>
    </w:pPr>
    <w:rPr>
      <w:b/>
      <w:sz w:val="20"/>
      <w:szCs w:val="20"/>
    </w:rPr>
  </w:style>
  <w:style w:type="paragraph" w:styleId="Overskrift5">
    <w:name w:val="heading 5"/>
    <w:basedOn w:val="Normal"/>
    <w:next w:val="Normal"/>
    <w:link w:val="Overskrift5Tegn"/>
    <w:qFormat/>
    <w:rsid w:val="003D036B"/>
    <w:pPr>
      <w:keepNext/>
      <w:outlineLvl w:val="4"/>
    </w:pPr>
    <w:rPr>
      <w:b/>
      <w:i/>
      <w:szCs w:val="20"/>
    </w:rPr>
  </w:style>
  <w:style w:type="paragraph" w:styleId="Overskrift6">
    <w:name w:val="heading 6"/>
    <w:basedOn w:val="Normal"/>
    <w:next w:val="Normal"/>
    <w:qFormat/>
    <w:rsid w:val="003D036B"/>
    <w:pPr>
      <w:keepNext/>
      <w:ind w:left="709"/>
      <w:outlineLvl w:val="5"/>
    </w:pPr>
    <w:rPr>
      <w:b/>
      <w:i/>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A2724"/>
    <w:rPr>
      <w:rFonts w:ascii="Arial" w:hAnsi="Arial" w:cs="Arial"/>
      <w:b/>
      <w:bCs/>
      <w:kern w:val="32"/>
      <w:sz w:val="32"/>
      <w:szCs w:val="32"/>
      <w:lang w:val="nb-NO" w:eastAsia="nb-NO" w:bidi="ar-SA"/>
    </w:rPr>
  </w:style>
  <w:style w:type="table" w:styleId="Tabellrutenett">
    <w:name w:val="Table Grid"/>
    <w:basedOn w:val="Vanligtabell"/>
    <w:uiPriority w:val="59"/>
    <w:rsid w:val="0092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rsid w:val="009A3A18"/>
    <w:pPr>
      <w:tabs>
        <w:tab w:val="center" w:pos="4536"/>
        <w:tab w:val="right" w:pos="9072"/>
      </w:tabs>
    </w:pPr>
  </w:style>
  <w:style w:type="character" w:customStyle="1" w:styleId="TopptekstTegn">
    <w:name w:val="Topptekst Tegn"/>
    <w:basedOn w:val="Standardskriftforavsnitt"/>
    <w:link w:val="Topptekst"/>
    <w:rsid w:val="00563E5F"/>
    <w:rPr>
      <w:sz w:val="24"/>
      <w:szCs w:val="24"/>
    </w:rPr>
  </w:style>
  <w:style w:type="paragraph" w:styleId="Bunntekst">
    <w:name w:val="footer"/>
    <w:basedOn w:val="Normal"/>
    <w:link w:val="BunntekstTegn"/>
    <w:uiPriority w:val="99"/>
    <w:rsid w:val="009A3A18"/>
    <w:pPr>
      <w:tabs>
        <w:tab w:val="center" w:pos="4536"/>
        <w:tab w:val="right" w:pos="9072"/>
      </w:tabs>
    </w:pPr>
  </w:style>
  <w:style w:type="character" w:customStyle="1" w:styleId="BunntekstTegn">
    <w:name w:val="Bunntekst Tegn"/>
    <w:basedOn w:val="Standardskriftforavsnitt"/>
    <w:link w:val="Bunntekst"/>
    <w:uiPriority w:val="99"/>
    <w:rsid w:val="00563E5F"/>
    <w:rPr>
      <w:sz w:val="24"/>
      <w:szCs w:val="24"/>
    </w:rPr>
  </w:style>
  <w:style w:type="character" w:styleId="Sidetall">
    <w:name w:val="page number"/>
    <w:basedOn w:val="Standardskriftforavsnitt"/>
    <w:rsid w:val="009A3A18"/>
  </w:style>
  <w:style w:type="character" w:styleId="Hyperkobling">
    <w:name w:val="Hyperlink"/>
    <w:basedOn w:val="Standardskriftforavsnitt"/>
    <w:uiPriority w:val="99"/>
    <w:rsid w:val="009E4237"/>
    <w:rPr>
      <w:color w:val="0000FF"/>
      <w:u w:val="single"/>
    </w:rPr>
  </w:style>
  <w:style w:type="paragraph" w:styleId="Bobletekst">
    <w:name w:val="Balloon Text"/>
    <w:basedOn w:val="Normal"/>
    <w:semiHidden/>
    <w:rsid w:val="00A86012"/>
    <w:rPr>
      <w:rFonts w:ascii="Tahoma" w:hAnsi="Tahoma" w:cs="Tahoma"/>
      <w:sz w:val="16"/>
      <w:szCs w:val="16"/>
    </w:rPr>
  </w:style>
  <w:style w:type="paragraph" w:styleId="INNH1">
    <w:name w:val="toc 1"/>
    <w:basedOn w:val="Normal"/>
    <w:next w:val="Normal"/>
    <w:autoRedefine/>
    <w:uiPriority w:val="39"/>
    <w:rsid w:val="00387448"/>
  </w:style>
  <w:style w:type="paragraph" w:styleId="INNH2">
    <w:name w:val="toc 2"/>
    <w:basedOn w:val="Normal"/>
    <w:next w:val="Normal"/>
    <w:autoRedefine/>
    <w:uiPriority w:val="39"/>
    <w:rsid w:val="00387448"/>
    <w:pPr>
      <w:ind w:left="240"/>
    </w:pPr>
  </w:style>
  <w:style w:type="paragraph" w:styleId="INNH3">
    <w:name w:val="toc 3"/>
    <w:basedOn w:val="Normal"/>
    <w:next w:val="Normal"/>
    <w:autoRedefine/>
    <w:uiPriority w:val="39"/>
    <w:rsid w:val="00387448"/>
    <w:pPr>
      <w:ind w:left="480"/>
    </w:pPr>
  </w:style>
  <w:style w:type="character" w:styleId="Merknadsreferanse">
    <w:name w:val="annotation reference"/>
    <w:basedOn w:val="Standardskriftforavsnitt"/>
    <w:semiHidden/>
    <w:rsid w:val="00C11687"/>
    <w:rPr>
      <w:sz w:val="16"/>
      <w:szCs w:val="16"/>
    </w:rPr>
  </w:style>
  <w:style w:type="paragraph" w:styleId="Merknadstekst">
    <w:name w:val="annotation text"/>
    <w:basedOn w:val="Normal"/>
    <w:semiHidden/>
    <w:rsid w:val="00C11687"/>
    <w:rPr>
      <w:sz w:val="20"/>
      <w:szCs w:val="20"/>
    </w:rPr>
  </w:style>
  <w:style w:type="paragraph" w:styleId="Kommentaremne">
    <w:name w:val="annotation subject"/>
    <w:basedOn w:val="Merknadstekst"/>
    <w:next w:val="Merknadstekst"/>
    <w:semiHidden/>
    <w:rsid w:val="00C11687"/>
    <w:rPr>
      <w:b/>
      <w:bCs/>
    </w:rPr>
  </w:style>
  <w:style w:type="paragraph" w:customStyle="1" w:styleId="Overskriftnoter">
    <w:name w:val="Overskrift noter"/>
    <w:basedOn w:val="Normal"/>
    <w:autoRedefine/>
    <w:rsid w:val="005C788E"/>
    <w:pPr>
      <w:widowControl w:val="0"/>
      <w:autoSpaceDE w:val="0"/>
      <w:autoSpaceDN w:val="0"/>
      <w:adjustRightInd w:val="0"/>
    </w:pPr>
    <w:rPr>
      <w:rFonts w:ascii="Arial" w:hAnsi="Arial" w:cs="Arial"/>
      <w:b/>
      <w:bCs/>
      <w:sz w:val="28"/>
      <w:szCs w:val="28"/>
    </w:rPr>
  </w:style>
  <w:style w:type="paragraph" w:styleId="Brdtekstinnrykk3">
    <w:name w:val="Body Text Indent 3"/>
    <w:basedOn w:val="Normal"/>
    <w:rsid w:val="003D036B"/>
    <w:pPr>
      <w:tabs>
        <w:tab w:val="left" w:pos="2268"/>
        <w:tab w:val="decimal" w:pos="6237"/>
      </w:tabs>
      <w:ind w:left="851" w:hanging="454"/>
    </w:pPr>
    <w:rPr>
      <w:i/>
      <w:szCs w:val="20"/>
    </w:rPr>
  </w:style>
  <w:style w:type="paragraph" w:styleId="Brdtekst">
    <w:name w:val="Body Text"/>
    <w:basedOn w:val="Normal"/>
    <w:link w:val="BrdtekstTegn"/>
    <w:rsid w:val="003D036B"/>
    <w:pPr>
      <w:spacing w:after="120"/>
    </w:pPr>
    <w:rPr>
      <w:szCs w:val="20"/>
    </w:rPr>
  </w:style>
  <w:style w:type="paragraph" w:styleId="Brdtekstinnrykk">
    <w:name w:val="Body Text Indent"/>
    <w:basedOn w:val="Normal"/>
    <w:rsid w:val="003D036B"/>
    <w:pPr>
      <w:spacing w:after="120"/>
      <w:ind w:left="283"/>
    </w:pPr>
    <w:rPr>
      <w:szCs w:val="20"/>
    </w:rPr>
  </w:style>
  <w:style w:type="paragraph" w:styleId="Bildetekst">
    <w:name w:val="caption"/>
    <w:basedOn w:val="Normal"/>
    <w:next w:val="Normal"/>
    <w:qFormat/>
    <w:rsid w:val="00126446"/>
    <w:pPr>
      <w:spacing w:before="240" w:after="240"/>
      <w:jc w:val="right"/>
    </w:pPr>
    <w:rPr>
      <w:rFonts w:ascii="Arial" w:hAnsi="Arial"/>
      <w:b/>
      <w:sz w:val="32"/>
      <w:szCs w:val="20"/>
    </w:rPr>
  </w:style>
  <w:style w:type="paragraph" w:customStyle="1" w:styleId="Stil1">
    <w:name w:val="Stil1"/>
    <w:basedOn w:val="Normal"/>
    <w:rsid w:val="00346FCE"/>
    <w:pPr>
      <w:tabs>
        <w:tab w:val="num" w:pos="1788"/>
      </w:tabs>
      <w:ind w:left="1788" w:hanging="360"/>
    </w:pPr>
    <w:rPr>
      <w:szCs w:val="20"/>
    </w:rPr>
  </w:style>
  <w:style w:type="paragraph" w:styleId="Listeavsnitt">
    <w:name w:val="List Paragraph"/>
    <w:basedOn w:val="Normal"/>
    <w:uiPriority w:val="34"/>
    <w:qFormat/>
    <w:rsid w:val="001A7FA1"/>
    <w:pPr>
      <w:ind w:left="708"/>
    </w:pPr>
  </w:style>
  <w:style w:type="paragraph" w:customStyle="1" w:styleId="Ingenmellomrom1">
    <w:name w:val="Ingen mellomrom1"/>
    <w:rsid w:val="00E156C2"/>
    <w:rPr>
      <w:rFonts w:ascii="Calibri" w:hAnsi="Calibri"/>
      <w:sz w:val="22"/>
      <w:szCs w:val="22"/>
      <w:lang w:eastAsia="en-US"/>
    </w:rPr>
  </w:style>
  <w:style w:type="paragraph" w:customStyle="1" w:styleId="Sakstittel1">
    <w:name w:val="Sakstittel1"/>
    <w:basedOn w:val="Overskrift1"/>
    <w:rsid w:val="00490B25"/>
    <w:pPr>
      <w:spacing w:after="240"/>
    </w:pPr>
    <w:rPr>
      <w:rFonts w:ascii="Times New Roman" w:hAnsi="Times New Roman"/>
      <w:sz w:val="24"/>
      <w:szCs w:val="28"/>
    </w:rPr>
  </w:style>
  <w:style w:type="paragraph" w:customStyle="1" w:styleId="Sakstittel2">
    <w:name w:val="Sakstittel2"/>
    <w:basedOn w:val="Overskrift2"/>
    <w:rsid w:val="00490B25"/>
    <w:pPr>
      <w:spacing w:after="120"/>
    </w:pPr>
    <w:rPr>
      <w:rFonts w:ascii="Times New Roman" w:hAnsi="Times New Roman"/>
      <w:i w:val="0"/>
      <w:sz w:val="24"/>
    </w:rPr>
  </w:style>
  <w:style w:type="paragraph" w:styleId="NormalWeb">
    <w:name w:val="Normal (Web)"/>
    <w:basedOn w:val="Normal"/>
    <w:rsid w:val="0066657E"/>
    <w:pPr>
      <w:spacing w:before="100" w:beforeAutospacing="1" w:after="100" w:afterAutospacing="1"/>
    </w:pPr>
    <w:rPr>
      <w:color w:val="000000"/>
    </w:rPr>
  </w:style>
  <w:style w:type="paragraph" w:customStyle="1" w:styleId="Listeavsnitt1">
    <w:name w:val="Listeavsnitt1"/>
    <w:basedOn w:val="Normal"/>
    <w:rsid w:val="00750ABB"/>
    <w:pPr>
      <w:spacing w:after="200" w:line="276" w:lineRule="auto"/>
      <w:ind w:left="720"/>
      <w:contextualSpacing/>
    </w:pPr>
    <w:rPr>
      <w:rFonts w:ascii="Calibri" w:hAnsi="Calibri"/>
      <w:sz w:val="22"/>
      <w:szCs w:val="22"/>
      <w:lang w:eastAsia="en-US"/>
    </w:rPr>
  </w:style>
  <w:style w:type="paragraph" w:customStyle="1" w:styleId="Default">
    <w:name w:val="Default"/>
    <w:rsid w:val="00750ABB"/>
    <w:pPr>
      <w:autoSpaceDE w:val="0"/>
      <w:autoSpaceDN w:val="0"/>
      <w:adjustRightInd w:val="0"/>
    </w:pPr>
    <w:rPr>
      <w:color w:val="000000"/>
      <w:sz w:val="24"/>
      <w:szCs w:val="24"/>
    </w:rPr>
  </w:style>
  <w:style w:type="character" w:styleId="Sterk">
    <w:name w:val="Strong"/>
    <w:basedOn w:val="Standardskriftforavsnitt"/>
    <w:qFormat/>
    <w:rsid w:val="00CE6800"/>
    <w:rPr>
      <w:b/>
      <w:bCs/>
    </w:rPr>
  </w:style>
  <w:style w:type="character" w:customStyle="1" w:styleId="Overskrift2Tegn">
    <w:name w:val="Overskrift 2 Tegn"/>
    <w:basedOn w:val="Standardskriftforavsnitt"/>
    <w:link w:val="Overskrift2"/>
    <w:rsid w:val="00FA7A69"/>
    <w:rPr>
      <w:rFonts w:ascii="Arial" w:hAnsi="Arial" w:cs="Arial"/>
      <w:b/>
      <w:bCs/>
      <w:i/>
      <w:iCs/>
      <w:sz w:val="28"/>
      <w:szCs w:val="28"/>
    </w:rPr>
  </w:style>
  <w:style w:type="character" w:customStyle="1" w:styleId="Overskrift5Tegn">
    <w:name w:val="Overskrift 5 Tegn"/>
    <w:basedOn w:val="Standardskriftforavsnitt"/>
    <w:link w:val="Overskrift5"/>
    <w:rsid w:val="00FA7A69"/>
    <w:rPr>
      <w:b/>
      <w:i/>
      <w:sz w:val="24"/>
    </w:rPr>
  </w:style>
  <w:style w:type="character" w:customStyle="1" w:styleId="BrdtekstTegn">
    <w:name w:val="Brødtekst Tegn"/>
    <w:basedOn w:val="Standardskriftforavsnitt"/>
    <w:link w:val="Brdtekst"/>
    <w:rsid w:val="00FA7A69"/>
    <w:rPr>
      <w:sz w:val="24"/>
    </w:rPr>
  </w:style>
  <w:style w:type="character" w:customStyle="1" w:styleId="Overskrift3Tegn">
    <w:name w:val="Overskrift 3 Tegn"/>
    <w:basedOn w:val="Standardskriftforavsnitt"/>
    <w:link w:val="Overskrift3"/>
    <w:rsid w:val="00125581"/>
    <w:rPr>
      <w:rFonts w:ascii="Arial" w:hAnsi="Arial" w:cs="Arial"/>
      <w:b/>
      <w:bCs/>
      <w:sz w:val="26"/>
      <w:szCs w:val="26"/>
    </w:rPr>
  </w:style>
  <w:style w:type="paragraph" w:styleId="Ingenmellomrom">
    <w:name w:val="No Spacing"/>
    <w:uiPriority w:val="1"/>
    <w:qFormat/>
    <w:rsid w:val="000E4813"/>
    <w:rPr>
      <w:rFonts w:ascii="Calibri" w:eastAsia="Calibri" w:hAnsi="Calibri"/>
      <w:sz w:val="22"/>
      <w:szCs w:val="22"/>
      <w:lang w:eastAsia="en-US"/>
    </w:rPr>
  </w:style>
  <w:style w:type="table" w:styleId="Rutenettabell1lys-uthevingsfarge5">
    <w:name w:val="Grid Table 1 Light Accent 5"/>
    <w:basedOn w:val="Vanligtabell"/>
    <w:uiPriority w:val="46"/>
    <w:rsid w:val="003732D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Fotnotetekst">
    <w:name w:val="footnote text"/>
    <w:basedOn w:val="Normal"/>
    <w:link w:val="FotnotetekstTegn"/>
    <w:uiPriority w:val="99"/>
    <w:semiHidden/>
    <w:unhideWhenUsed/>
    <w:rsid w:val="00D62A57"/>
    <w:rPr>
      <w:sz w:val="20"/>
      <w:szCs w:val="20"/>
    </w:rPr>
  </w:style>
  <w:style w:type="character" w:customStyle="1" w:styleId="FotnotetekstTegn">
    <w:name w:val="Fotnotetekst Tegn"/>
    <w:basedOn w:val="Standardskriftforavsnitt"/>
    <w:link w:val="Fotnotetekst"/>
    <w:uiPriority w:val="99"/>
    <w:semiHidden/>
    <w:rsid w:val="00D62A57"/>
  </w:style>
  <w:style w:type="character" w:styleId="Fotnotereferanse">
    <w:name w:val="footnote reference"/>
    <w:basedOn w:val="Standardskriftforavsnitt"/>
    <w:uiPriority w:val="99"/>
    <w:semiHidden/>
    <w:unhideWhenUsed/>
    <w:rsid w:val="00D62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55716">
      <w:bodyDiv w:val="1"/>
      <w:marLeft w:val="0"/>
      <w:marRight w:val="0"/>
      <w:marTop w:val="0"/>
      <w:marBottom w:val="0"/>
      <w:divBdr>
        <w:top w:val="none" w:sz="0" w:space="0" w:color="auto"/>
        <w:left w:val="none" w:sz="0" w:space="0" w:color="auto"/>
        <w:bottom w:val="none" w:sz="0" w:space="0" w:color="auto"/>
        <w:right w:val="none" w:sz="0" w:space="0" w:color="auto"/>
      </w:divBdr>
    </w:div>
    <w:div w:id="548959412">
      <w:bodyDiv w:val="1"/>
      <w:marLeft w:val="0"/>
      <w:marRight w:val="0"/>
      <w:marTop w:val="0"/>
      <w:marBottom w:val="0"/>
      <w:divBdr>
        <w:top w:val="none" w:sz="0" w:space="0" w:color="auto"/>
        <w:left w:val="none" w:sz="0" w:space="0" w:color="auto"/>
        <w:bottom w:val="none" w:sz="0" w:space="0" w:color="auto"/>
        <w:right w:val="none" w:sz="0" w:space="0" w:color="auto"/>
      </w:divBdr>
    </w:div>
    <w:div w:id="646010425">
      <w:bodyDiv w:val="1"/>
      <w:marLeft w:val="0"/>
      <w:marRight w:val="0"/>
      <w:marTop w:val="0"/>
      <w:marBottom w:val="0"/>
      <w:divBdr>
        <w:top w:val="none" w:sz="0" w:space="0" w:color="auto"/>
        <w:left w:val="none" w:sz="0" w:space="0" w:color="auto"/>
        <w:bottom w:val="none" w:sz="0" w:space="0" w:color="auto"/>
        <w:right w:val="none" w:sz="0" w:space="0" w:color="auto"/>
      </w:divBdr>
    </w:div>
    <w:div w:id="956645391">
      <w:bodyDiv w:val="1"/>
      <w:marLeft w:val="0"/>
      <w:marRight w:val="0"/>
      <w:marTop w:val="0"/>
      <w:marBottom w:val="0"/>
      <w:divBdr>
        <w:top w:val="none" w:sz="0" w:space="0" w:color="auto"/>
        <w:left w:val="none" w:sz="0" w:space="0" w:color="auto"/>
        <w:bottom w:val="none" w:sz="0" w:space="0" w:color="auto"/>
        <w:right w:val="none" w:sz="0" w:space="0" w:color="auto"/>
      </w:divBdr>
    </w:div>
    <w:div w:id="1200973370">
      <w:bodyDiv w:val="1"/>
      <w:marLeft w:val="0"/>
      <w:marRight w:val="0"/>
      <w:marTop w:val="0"/>
      <w:marBottom w:val="0"/>
      <w:divBdr>
        <w:top w:val="none" w:sz="0" w:space="0" w:color="auto"/>
        <w:left w:val="none" w:sz="0" w:space="0" w:color="auto"/>
        <w:bottom w:val="none" w:sz="0" w:space="0" w:color="auto"/>
        <w:right w:val="none" w:sz="0" w:space="0" w:color="auto"/>
      </w:divBdr>
    </w:div>
    <w:div w:id="1990475535">
      <w:bodyDiv w:val="1"/>
      <w:marLeft w:val="0"/>
      <w:marRight w:val="0"/>
      <w:marTop w:val="0"/>
      <w:marBottom w:val="0"/>
      <w:divBdr>
        <w:top w:val="none" w:sz="0" w:space="0" w:color="auto"/>
        <w:left w:val="none" w:sz="0" w:space="0" w:color="auto"/>
        <w:bottom w:val="none" w:sz="0" w:space="0" w:color="auto"/>
        <w:right w:val="none" w:sz="0" w:space="0" w:color="auto"/>
      </w:divBdr>
    </w:div>
    <w:div w:id="21202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kommunedata.no" TargetMode="Externa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oleObject" Target="embeddings/Microsoft_Excel_97-2003-regneark1.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munedata.n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Excel_97-2003-regneark.xls"/><Relationship Id="rId23" Type="http://schemas.openxmlformats.org/officeDocument/2006/relationships/footer" Target="footer2.xml"/><Relationship Id="rId10" Type="http://schemas.openxmlformats.org/officeDocument/2006/relationships/image" Target="media/image3.tmp"/><Relationship Id="rId19" Type="http://schemas.openxmlformats.org/officeDocument/2006/relationships/oleObject" Target="embeddings/Microsoft_Excel_97-2003-regneark2.xls"/><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emf"/><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58D05-CBAF-4021-AEFB-9EFF7476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4290</Words>
  <Characters>25168</Characters>
  <Application>Microsoft Office Word</Application>
  <DocSecurity>0</DocSecurity>
  <Lines>209</Lines>
  <Paragraphs>58</Paragraphs>
  <ScaleCrop>false</ScaleCrop>
  <HeadingPairs>
    <vt:vector size="2" baseType="variant">
      <vt:variant>
        <vt:lpstr>Tittel</vt:lpstr>
      </vt:variant>
      <vt:variant>
        <vt:i4>1</vt:i4>
      </vt:variant>
    </vt:vector>
  </HeadingPairs>
  <TitlesOfParts>
    <vt:vector size="1" baseType="lpstr">
      <vt:lpstr>Mal for saksframlegg – budsjett og økonomiplan</vt:lpstr>
    </vt:vector>
  </TitlesOfParts>
  <Company>Fylkesmannen i Troms</Company>
  <LinksUpToDate>false</LinksUpToDate>
  <CharactersWithSpaces>29400</CharactersWithSpaces>
  <SharedDoc>false</SharedDoc>
  <HLinks>
    <vt:vector size="180" baseType="variant">
      <vt:variant>
        <vt:i4>1114164</vt:i4>
      </vt:variant>
      <vt:variant>
        <vt:i4>176</vt:i4>
      </vt:variant>
      <vt:variant>
        <vt:i4>0</vt:i4>
      </vt:variant>
      <vt:variant>
        <vt:i4>5</vt:i4>
      </vt:variant>
      <vt:variant>
        <vt:lpwstr/>
      </vt:variant>
      <vt:variant>
        <vt:lpwstr>_Toc372636612</vt:lpwstr>
      </vt:variant>
      <vt:variant>
        <vt:i4>1114164</vt:i4>
      </vt:variant>
      <vt:variant>
        <vt:i4>170</vt:i4>
      </vt:variant>
      <vt:variant>
        <vt:i4>0</vt:i4>
      </vt:variant>
      <vt:variant>
        <vt:i4>5</vt:i4>
      </vt:variant>
      <vt:variant>
        <vt:lpwstr/>
      </vt:variant>
      <vt:variant>
        <vt:lpwstr>_Toc372636611</vt:lpwstr>
      </vt:variant>
      <vt:variant>
        <vt:i4>1114164</vt:i4>
      </vt:variant>
      <vt:variant>
        <vt:i4>164</vt:i4>
      </vt:variant>
      <vt:variant>
        <vt:i4>0</vt:i4>
      </vt:variant>
      <vt:variant>
        <vt:i4>5</vt:i4>
      </vt:variant>
      <vt:variant>
        <vt:lpwstr/>
      </vt:variant>
      <vt:variant>
        <vt:lpwstr>_Toc372636610</vt:lpwstr>
      </vt:variant>
      <vt:variant>
        <vt:i4>1048628</vt:i4>
      </vt:variant>
      <vt:variant>
        <vt:i4>158</vt:i4>
      </vt:variant>
      <vt:variant>
        <vt:i4>0</vt:i4>
      </vt:variant>
      <vt:variant>
        <vt:i4>5</vt:i4>
      </vt:variant>
      <vt:variant>
        <vt:lpwstr/>
      </vt:variant>
      <vt:variant>
        <vt:lpwstr>_Toc372636609</vt:lpwstr>
      </vt:variant>
      <vt:variant>
        <vt:i4>1048628</vt:i4>
      </vt:variant>
      <vt:variant>
        <vt:i4>152</vt:i4>
      </vt:variant>
      <vt:variant>
        <vt:i4>0</vt:i4>
      </vt:variant>
      <vt:variant>
        <vt:i4>5</vt:i4>
      </vt:variant>
      <vt:variant>
        <vt:lpwstr/>
      </vt:variant>
      <vt:variant>
        <vt:lpwstr>_Toc372636608</vt:lpwstr>
      </vt:variant>
      <vt:variant>
        <vt:i4>1048628</vt:i4>
      </vt:variant>
      <vt:variant>
        <vt:i4>146</vt:i4>
      </vt:variant>
      <vt:variant>
        <vt:i4>0</vt:i4>
      </vt:variant>
      <vt:variant>
        <vt:i4>5</vt:i4>
      </vt:variant>
      <vt:variant>
        <vt:lpwstr/>
      </vt:variant>
      <vt:variant>
        <vt:lpwstr>_Toc372636607</vt:lpwstr>
      </vt:variant>
      <vt:variant>
        <vt:i4>1048628</vt:i4>
      </vt:variant>
      <vt:variant>
        <vt:i4>140</vt:i4>
      </vt:variant>
      <vt:variant>
        <vt:i4>0</vt:i4>
      </vt:variant>
      <vt:variant>
        <vt:i4>5</vt:i4>
      </vt:variant>
      <vt:variant>
        <vt:lpwstr/>
      </vt:variant>
      <vt:variant>
        <vt:lpwstr>_Toc372636606</vt:lpwstr>
      </vt:variant>
      <vt:variant>
        <vt:i4>1048628</vt:i4>
      </vt:variant>
      <vt:variant>
        <vt:i4>134</vt:i4>
      </vt:variant>
      <vt:variant>
        <vt:i4>0</vt:i4>
      </vt:variant>
      <vt:variant>
        <vt:i4>5</vt:i4>
      </vt:variant>
      <vt:variant>
        <vt:lpwstr/>
      </vt:variant>
      <vt:variant>
        <vt:lpwstr>_Toc372636605</vt:lpwstr>
      </vt:variant>
      <vt:variant>
        <vt:i4>1048628</vt:i4>
      </vt:variant>
      <vt:variant>
        <vt:i4>128</vt:i4>
      </vt:variant>
      <vt:variant>
        <vt:i4>0</vt:i4>
      </vt:variant>
      <vt:variant>
        <vt:i4>5</vt:i4>
      </vt:variant>
      <vt:variant>
        <vt:lpwstr/>
      </vt:variant>
      <vt:variant>
        <vt:lpwstr>_Toc372636604</vt:lpwstr>
      </vt:variant>
      <vt:variant>
        <vt:i4>1048628</vt:i4>
      </vt:variant>
      <vt:variant>
        <vt:i4>122</vt:i4>
      </vt:variant>
      <vt:variant>
        <vt:i4>0</vt:i4>
      </vt:variant>
      <vt:variant>
        <vt:i4>5</vt:i4>
      </vt:variant>
      <vt:variant>
        <vt:lpwstr/>
      </vt:variant>
      <vt:variant>
        <vt:lpwstr>_Toc372636603</vt:lpwstr>
      </vt:variant>
      <vt:variant>
        <vt:i4>1048628</vt:i4>
      </vt:variant>
      <vt:variant>
        <vt:i4>116</vt:i4>
      </vt:variant>
      <vt:variant>
        <vt:i4>0</vt:i4>
      </vt:variant>
      <vt:variant>
        <vt:i4>5</vt:i4>
      </vt:variant>
      <vt:variant>
        <vt:lpwstr/>
      </vt:variant>
      <vt:variant>
        <vt:lpwstr>_Toc372636602</vt:lpwstr>
      </vt:variant>
      <vt:variant>
        <vt:i4>1048628</vt:i4>
      </vt:variant>
      <vt:variant>
        <vt:i4>110</vt:i4>
      </vt:variant>
      <vt:variant>
        <vt:i4>0</vt:i4>
      </vt:variant>
      <vt:variant>
        <vt:i4>5</vt:i4>
      </vt:variant>
      <vt:variant>
        <vt:lpwstr/>
      </vt:variant>
      <vt:variant>
        <vt:lpwstr>_Toc372636601</vt:lpwstr>
      </vt:variant>
      <vt:variant>
        <vt:i4>1048628</vt:i4>
      </vt:variant>
      <vt:variant>
        <vt:i4>104</vt:i4>
      </vt:variant>
      <vt:variant>
        <vt:i4>0</vt:i4>
      </vt:variant>
      <vt:variant>
        <vt:i4>5</vt:i4>
      </vt:variant>
      <vt:variant>
        <vt:lpwstr/>
      </vt:variant>
      <vt:variant>
        <vt:lpwstr>_Toc372636600</vt:lpwstr>
      </vt:variant>
      <vt:variant>
        <vt:i4>1638455</vt:i4>
      </vt:variant>
      <vt:variant>
        <vt:i4>98</vt:i4>
      </vt:variant>
      <vt:variant>
        <vt:i4>0</vt:i4>
      </vt:variant>
      <vt:variant>
        <vt:i4>5</vt:i4>
      </vt:variant>
      <vt:variant>
        <vt:lpwstr/>
      </vt:variant>
      <vt:variant>
        <vt:lpwstr>_Toc372636599</vt:lpwstr>
      </vt:variant>
      <vt:variant>
        <vt:i4>1638455</vt:i4>
      </vt:variant>
      <vt:variant>
        <vt:i4>92</vt:i4>
      </vt:variant>
      <vt:variant>
        <vt:i4>0</vt:i4>
      </vt:variant>
      <vt:variant>
        <vt:i4>5</vt:i4>
      </vt:variant>
      <vt:variant>
        <vt:lpwstr/>
      </vt:variant>
      <vt:variant>
        <vt:lpwstr>_Toc372636598</vt:lpwstr>
      </vt:variant>
      <vt:variant>
        <vt:i4>1638455</vt:i4>
      </vt:variant>
      <vt:variant>
        <vt:i4>86</vt:i4>
      </vt:variant>
      <vt:variant>
        <vt:i4>0</vt:i4>
      </vt:variant>
      <vt:variant>
        <vt:i4>5</vt:i4>
      </vt:variant>
      <vt:variant>
        <vt:lpwstr/>
      </vt:variant>
      <vt:variant>
        <vt:lpwstr>_Toc372636597</vt:lpwstr>
      </vt:variant>
      <vt:variant>
        <vt:i4>1638455</vt:i4>
      </vt:variant>
      <vt:variant>
        <vt:i4>80</vt:i4>
      </vt:variant>
      <vt:variant>
        <vt:i4>0</vt:i4>
      </vt:variant>
      <vt:variant>
        <vt:i4>5</vt:i4>
      </vt:variant>
      <vt:variant>
        <vt:lpwstr/>
      </vt:variant>
      <vt:variant>
        <vt:lpwstr>_Toc372636596</vt:lpwstr>
      </vt:variant>
      <vt:variant>
        <vt:i4>1638455</vt:i4>
      </vt:variant>
      <vt:variant>
        <vt:i4>74</vt:i4>
      </vt:variant>
      <vt:variant>
        <vt:i4>0</vt:i4>
      </vt:variant>
      <vt:variant>
        <vt:i4>5</vt:i4>
      </vt:variant>
      <vt:variant>
        <vt:lpwstr/>
      </vt:variant>
      <vt:variant>
        <vt:lpwstr>_Toc372636595</vt:lpwstr>
      </vt:variant>
      <vt:variant>
        <vt:i4>1638455</vt:i4>
      </vt:variant>
      <vt:variant>
        <vt:i4>68</vt:i4>
      </vt:variant>
      <vt:variant>
        <vt:i4>0</vt:i4>
      </vt:variant>
      <vt:variant>
        <vt:i4>5</vt:i4>
      </vt:variant>
      <vt:variant>
        <vt:lpwstr/>
      </vt:variant>
      <vt:variant>
        <vt:lpwstr>_Toc372636594</vt:lpwstr>
      </vt:variant>
      <vt:variant>
        <vt:i4>1638455</vt:i4>
      </vt:variant>
      <vt:variant>
        <vt:i4>62</vt:i4>
      </vt:variant>
      <vt:variant>
        <vt:i4>0</vt:i4>
      </vt:variant>
      <vt:variant>
        <vt:i4>5</vt:i4>
      </vt:variant>
      <vt:variant>
        <vt:lpwstr/>
      </vt:variant>
      <vt:variant>
        <vt:lpwstr>_Toc372636593</vt:lpwstr>
      </vt:variant>
      <vt:variant>
        <vt:i4>1638455</vt:i4>
      </vt:variant>
      <vt:variant>
        <vt:i4>56</vt:i4>
      </vt:variant>
      <vt:variant>
        <vt:i4>0</vt:i4>
      </vt:variant>
      <vt:variant>
        <vt:i4>5</vt:i4>
      </vt:variant>
      <vt:variant>
        <vt:lpwstr/>
      </vt:variant>
      <vt:variant>
        <vt:lpwstr>_Toc372636592</vt:lpwstr>
      </vt:variant>
      <vt:variant>
        <vt:i4>1638455</vt:i4>
      </vt:variant>
      <vt:variant>
        <vt:i4>50</vt:i4>
      </vt:variant>
      <vt:variant>
        <vt:i4>0</vt:i4>
      </vt:variant>
      <vt:variant>
        <vt:i4>5</vt:i4>
      </vt:variant>
      <vt:variant>
        <vt:lpwstr/>
      </vt:variant>
      <vt:variant>
        <vt:lpwstr>_Toc372636591</vt:lpwstr>
      </vt:variant>
      <vt:variant>
        <vt:i4>1638455</vt:i4>
      </vt:variant>
      <vt:variant>
        <vt:i4>44</vt:i4>
      </vt:variant>
      <vt:variant>
        <vt:i4>0</vt:i4>
      </vt:variant>
      <vt:variant>
        <vt:i4>5</vt:i4>
      </vt:variant>
      <vt:variant>
        <vt:lpwstr/>
      </vt:variant>
      <vt:variant>
        <vt:lpwstr>_Toc372636590</vt:lpwstr>
      </vt:variant>
      <vt:variant>
        <vt:i4>1572919</vt:i4>
      </vt:variant>
      <vt:variant>
        <vt:i4>38</vt:i4>
      </vt:variant>
      <vt:variant>
        <vt:i4>0</vt:i4>
      </vt:variant>
      <vt:variant>
        <vt:i4>5</vt:i4>
      </vt:variant>
      <vt:variant>
        <vt:lpwstr/>
      </vt:variant>
      <vt:variant>
        <vt:lpwstr>_Toc372636589</vt:lpwstr>
      </vt:variant>
      <vt:variant>
        <vt:i4>1572919</vt:i4>
      </vt:variant>
      <vt:variant>
        <vt:i4>32</vt:i4>
      </vt:variant>
      <vt:variant>
        <vt:i4>0</vt:i4>
      </vt:variant>
      <vt:variant>
        <vt:i4>5</vt:i4>
      </vt:variant>
      <vt:variant>
        <vt:lpwstr/>
      </vt:variant>
      <vt:variant>
        <vt:lpwstr>_Toc372636588</vt:lpwstr>
      </vt:variant>
      <vt:variant>
        <vt:i4>1572919</vt:i4>
      </vt:variant>
      <vt:variant>
        <vt:i4>26</vt:i4>
      </vt:variant>
      <vt:variant>
        <vt:i4>0</vt:i4>
      </vt:variant>
      <vt:variant>
        <vt:i4>5</vt:i4>
      </vt:variant>
      <vt:variant>
        <vt:lpwstr/>
      </vt:variant>
      <vt:variant>
        <vt:lpwstr>_Toc372636587</vt:lpwstr>
      </vt:variant>
      <vt:variant>
        <vt:i4>1572919</vt:i4>
      </vt:variant>
      <vt:variant>
        <vt:i4>20</vt:i4>
      </vt:variant>
      <vt:variant>
        <vt:i4>0</vt:i4>
      </vt:variant>
      <vt:variant>
        <vt:i4>5</vt:i4>
      </vt:variant>
      <vt:variant>
        <vt:lpwstr/>
      </vt:variant>
      <vt:variant>
        <vt:lpwstr>_Toc372636586</vt:lpwstr>
      </vt:variant>
      <vt:variant>
        <vt:i4>1572919</vt:i4>
      </vt:variant>
      <vt:variant>
        <vt:i4>14</vt:i4>
      </vt:variant>
      <vt:variant>
        <vt:i4>0</vt:i4>
      </vt:variant>
      <vt:variant>
        <vt:i4>5</vt:i4>
      </vt:variant>
      <vt:variant>
        <vt:lpwstr/>
      </vt:variant>
      <vt:variant>
        <vt:lpwstr>_Toc372636585</vt:lpwstr>
      </vt:variant>
      <vt:variant>
        <vt:i4>1572919</vt:i4>
      </vt:variant>
      <vt:variant>
        <vt:i4>8</vt:i4>
      </vt:variant>
      <vt:variant>
        <vt:i4>0</vt:i4>
      </vt:variant>
      <vt:variant>
        <vt:i4>5</vt:i4>
      </vt:variant>
      <vt:variant>
        <vt:lpwstr/>
      </vt:variant>
      <vt:variant>
        <vt:lpwstr>_Toc372636584</vt:lpwstr>
      </vt:variant>
      <vt:variant>
        <vt:i4>1572919</vt:i4>
      </vt:variant>
      <vt:variant>
        <vt:i4>2</vt:i4>
      </vt:variant>
      <vt:variant>
        <vt:i4>0</vt:i4>
      </vt:variant>
      <vt:variant>
        <vt:i4>5</vt:i4>
      </vt:variant>
      <vt:variant>
        <vt:lpwstr/>
      </vt:variant>
      <vt:variant>
        <vt:lpwstr>_Toc372636583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saksframlegg – budsjett og økonomiplan</dc:title>
  <dc:subject/>
  <dc:creator>Halvard Svendsen</dc:creator>
  <cp:keywords/>
  <dc:description/>
  <cp:lastModifiedBy>Espen Li</cp:lastModifiedBy>
  <cp:revision>8</cp:revision>
  <cp:lastPrinted>2016-11-09T14:43:00Z</cp:lastPrinted>
  <dcterms:created xsi:type="dcterms:W3CDTF">2017-10-30T13:55:00Z</dcterms:created>
  <dcterms:modified xsi:type="dcterms:W3CDTF">2017-11-08T07:40:00Z</dcterms:modified>
</cp:coreProperties>
</file>